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5B0AC1">
      <w:pPr>
        <w:widowControl w:val="0"/>
        <w:spacing w:before="468" w:beforeLines="150" w:after="468" w:afterLines="150"/>
        <w:jc w:val="center"/>
        <w:rPr>
          <w:rFonts w:hint="eastAsia" w:ascii="方正小标宋简体" w:hAnsi="方正小标宋简体" w:eastAsia="方正小标宋简体" w:cs="方正小标宋简体"/>
          <w:b/>
          <w:kern w:val="2"/>
          <w:sz w:val="52"/>
          <w:szCs w:val="52"/>
        </w:rPr>
      </w:pPr>
      <w:r>
        <w:rPr>
          <w:rFonts w:hint="eastAsia" w:ascii="方正小标宋简体" w:hAnsi="方正小标宋简体" w:eastAsia="方正小标宋简体" w:cs="方正小标宋简体"/>
          <w:b/>
          <w:kern w:val="2"/>
          <w:sz w:val="52"/>
          <w:szCs w:val="52"/>
        </w:rPr>
        <w:t>济南鲍德冶金石灰石有限公司</w:t>
      </w:r>
    </w:p>
    <w:p w14:paraId="0A28D03C">
      <w:pPr>
        <w:spacing w:line="300" w:lineRule="auto"/>
        <w:jc w:val="center"/>
        <w:rPr>
          <w:rFonts w:hint="eastAsia" w:ascii="方正小标宋简体" w:hAnsi="方正小标宋简体" w:eastAsia="方正小标宋简体" w:cs="方正小标宋简体"/>
          <w:b/>
          <w:bCs/>
          <w:color w:val="000000"/>
          <w:w w:val="90"/>
          <w:sz w:val="44"/>
          <w:szCs w:val="44"/>
        </w:rPr>
      </w:pPr>
      <w:r>
        <w:rPr>
          <w:rFonts w:hint="eastAsia" w:ascii="方正小标宋简体" w:hAnsi="方正小标宋简体" w:eastAsia="方正小标宋简体" w:cs="方正小标宋简体"/>
          <w:b/>
          <w:kern w:val="2"/>
          <w:sz w:val="52"/>
          <w:szCs w:val="52"/>
        </w:rPr>
        <w:t>机制砂产线设备安装项目</w:t>
      </w:r>
    </w:p>
    <w:p w14:paraId="685F936E">
      <w:pPr>
        <w:spacing w:line="300" w:lineRule="auto"/>
        <w:ind w:firstLine="3182" w:firstLineChars="800"/>
        <w:rPr>
          <w:rFonts w:hint="eastAsia" w:ascii="方正小标宋简体" w:hAnsi="方正小标宋简体" w:eastAsia="方正小标宋简体" w:cs="方正小标宋简体"/>
          <w:b/>
          <w:bCs/>
          <w:color w:val="000000"/>
          <w:w w:val="90"/>
          <w:sz w:val="44"/>
          <w:szCs w:val="44"/>
        </w:rPr>
      </w:pPr>
    </w:p>
    <w:p w14:paraId="3619E27B">
      <w:pPr>
        <w:spacing w:line="300" w:lineRule="auto"/>
        <w:ind w:firstLine="3182" w:firstLineChars="800"/>
        <w:rPr>
          <w:rFonts w:hint="eastAsia" w:ascii="方正小标宋简体" w:hAnsi="方正小标宋简体" w:eastAsia="方正小标宋简体" w:cs="方正小标宋简体"/>
          <w:b/>
          <w:bCs/>
          <w:color w:val="000000"/>
          <w:w w:val="90"/>
          <w:sz w:val="44"/>
          <w:szCs w:val="44"/>
        </w:rPr>
      </w:pPr>
    </w:p>
    <w:p w14:paraId="461DA7AE">
      <w:pPr>
        <w:widowControl w:val="0"/>
        <w:spacing w:before="468" w:beforeLines="150" w:after="468" w:afterLines="150"/>
        <w:jc w:val="center"/>
        <w:rPr>
          <w:rFonts w:hint="eastAsia" w:ascii="方正小标宋简体" w:hAnsi="方正小标宋简体" w:eastAsia="方正小标宋简体" w:cs="方正小标宋简体"/>
          <w:b/>
          <w:kern w:val="2"/>
          <w:sz w:val="52"/>
          <w:szCs w:val="52"/>
          <w:lang w:val="en-US" w:eastAsia="zh-CN"/>
        </w:rPr>
      </w:pPr>
      <w:r>
        <w:rPr>
          <w:rFonts w:hint="eastAsia" w:ascii="方正小标宋简体" w:hAnsi="方正小标宋简体" w:eastAsia="方正小标宋简体" w:cs="方正小标宋简体"/>
          <w:b/>
          <w:kern w:val="2"/>
          <w:sz w:val="52"/>
          <w:szCs w:val="52"/>
        </w:rPr>
        <w:t>竞争性谈判</w:t>
      </w:r>
      <w:r>
        <w:rPr>
          <w:rFonts w:hint="eastAsia" w:ascii="方正小标宋简体" w:hAnsi="方正小标宋简体" w:eastAsia="方正小标宋简体" w:cs="方正小标宋简体"/>
          <w:b/>
          <w:kern w:val="2"/>
          <w:sz w:val="52"/>
          <w:szCs w:val="52"/>
          <w:lang w:val="en-US" w:eastAsia="zh-CN"/>
        </w:rPr>
        <w:t>公告</w:t>
      </w:r>
    </w:p>
    <w:p w14:paraId="5A2E6ADB">
      <w:pPr>
        <w:pStyle w:val="2"/>
        <w:ind w:firstLine="1566" w:firstLineChars="300"/>
        <w:rPr>
          <w:rFonts w:hint="default"/>
          <w:lang w:val="en-US" w:eastAsia="zh-CN"/>
        </w:rPr>
      </w:pPr>
      <w:bookmarkStart w:id="1" w:name="_GoBack"/>
      <w:bookmarkEnd w:id="1"/>
      <w:r>
        <w:rPr>
          <w:rFonts w:hint="eastAsia" w:ascii="方正小标宋简体" w:hAnsi="方正小标宋简体" w:eastAsia="方正小标宋简体" w:cs="方正小标宋简体"/>
          <w:b/>
          <w:kern w:val="2"/>
          <w:sz w:val="52"/>
          <w:szCs w:val="52"/>
          <w:lang w:val="en-US" w:eastAsia="zh-CN"/>
        </w:rPr>
        <w:t>编号：1253250304001</w:t>
      </w:r>
    </w:p>
    <w:p w14:paraId="43E317E8">
      <w:pPr>
        <w:spacing w:line="300" w:lineRule="auto"/>
        <w:jc w:val="center"/>
        <w:rPr>
          <w:rFonts w:hint="eastAsia" w:ascii="方正小标宋简体" w:hAnsi="方正小标宋简体" w:eastAsia="方正小标宋简体" w:cs="方正小标宋简体"/>
          <w:b/>
          <w:bCs/>
          <w:color w:val="000000"/>
          <w:w w:val="90"/>
          <w:sz w:val="44"/>
          <w:szCs w:val="44"/>
        </w:rPr>
      </w:pPr>
    </w:p>
    <w:p w14:paraId="1F26EF08">
      <w:pPr>
        <w:spacing w:line="300" w:lineRule="auto"/>
        <w:ind w:firstLine="6401" w:firstLineChars="1449"/>
        <w:rPr>
          <w:rFonts w:hint="eastAsia" w:ascii="方正小标宋简体" w:hAnsi="方正小标宋简体" w:eastAsia="方正小标宋简体" w:cs="方正小标宋简体"/>
          <w:b/>
          <w:color w:val="000000"/>
          <w:sz w:val="44"/>
          <w:szCs w:val="44"/>
        </w:rPr>
      </w:pPr>
    </w:p>
    <w:p w14:paraId="6DA87984">
      <w:pPr>
        <w:spacing w:line="300" w:lineRule="auto"/>
        <w:ind w:firstLine="5288" w:firstLineChars="1646"/>
        <w:rPr>
          <w:rFonts w:hint="eastAsia" w:ascii="方正小标宋简体" w:hAnsi="方正小标宋简体" w:eastAsia="方正小标宋简体" w:cs="方正小标宋简体"/>
          <w:b/>
          <w:color w:val="000000"/>
          <w:sz w:val="32"/>
          <w:szCs w:val="32"/>
          <w:u w:val="single"/>
        </w:rPr>
      </w:pPr>
    </w:p>
    <w:p w14:paraId="2F663FA1">
      <w:pPr>
        <w:tabs>
          <w:tab w:val="left" w:pos="1134"/>
          <w:tab w:val="left" w:pos="5481"/>
          <w:tab w:val="left" w:pos="5859"/>
        </w:tabs>
        <w:spacing w:line="300" w:lineRule="auto"/>
        <w:rPr>
          <w:rFonts w:hint="eastAsia" w:ascii="方正小标宋简体" w:hAnsi="方正小标宋简体" w:eastAsia="方正小标宋简体" w:cs="方正小标宋简体"/>
          <w:b/>
          <w:color w:val="000000"/>
          <w:sz w:val="28"/>
          <w:szCs w:val="28"/>
        </w:rPr>
      </w:pPr>
    </w:p>
    <w:p w14:paraId="60CC48D3">
      <w:pPr>
        <w:tabs>
          <w:tab w:val="left" w:pos="1134"/>
          <w:tab w:val="left" w:pos="5481"/>
          <w:tab w:val="left" w:pos="5859"/>
        </w:tabs>
        <w:spacing w:line="300" w:lineRule="auto"/>
        <w:rPr>
          <w:rFonts w:hint="eastAsia" w:ascii="方正小标宋简体" w:hAnsi="方正小标宋简体" w:eastAsia="方正小标宋简体" w:cs="方正小标宋简体"/>
          <w:b/>
          <w:color w:val="000000"/>
          <w:sz w:val="28"/>
          <w:szCs w:val="28"/>
        </w:rPr>
      </w:pPr>
    </w:p>
    <w:p w14:paraId="53074A32">
      <w:pPr>
        <w:spacing w:line="300" w:lineRule="auto"/>
        <w:ind w:firstLine="560" w:firstLineChars="200"/>
        <w:rPr>
          <w:rFonts w:hint="eastAsia" w:ascii="方正小标宋简体" w:hAnsi="方正小标宋简体" w:eastAsia="方正小标宋简体" w:cs="方正小标宋简体"/>
          <w:bCs/>
          <w:color w:val="000000"/>
          <w:sz w:val="32"/>
          <w:szCs w:val="32"/>
        </w:rPr>
      </w:pPr>
      <w:r>
        <w:rPr>
          <w:rFonts w:hint="eastAsia" w:ascii="方正小标宋简体" w:hAnsi="方正小标宋简体" w:eastAsia="方正小标宋简体" w:cs="方正小标宋简体"/>
          <w:bCs/>
          <w:color w:val="000000"/>
          <w:sz w:val="28"/>
          <w:szCs w:val="28"/>
        </w:rPr>
        <w:t xml:space="preserve">   </w:t>
      </w:r>
      <w:r>
        <w:rPr>
          <w:rFonts w:hint="eastAsia" w:ascii="方正小标宋简体" w:hAnsi="方正小标宋简体" w:eastAsia="方正小标宋简体" w:cs="方正小标宋简体"/>
          <w:bCs/>
          <w:color w:val="000000"/>
          <w:sz w:val="32"/>
          <w:szCs w:val="32"/>
        </w:rPr>
        <w:t xml:space="preserve">    招标人：济南鲍德冶金石灰石有限公司 </w:t>
      </w:r>
    </w:p>
    <w:p w14:paraId="57BC7BD2">
      <w:pPr>
        <w:pStyle w:val="9"/>
        <w:spacing w:line="300" w:lineRule="auto"/>
        <w:jc w:val="center"/>
        <w:rPr>
          <w:rFonts w:hint="eastAsia" w:ascii="方正小标宋简体" w:hAnsi="方正小标宋简体" w:eastAsia="方正小标宋简体" w:cs="方正小标宋简体"/>
          <w:bCs/>
          <w:color w:val="auto"/>
          <w:spacing w:val="28"/>
          <w:sz w:val="32"/>
          <w:szCs w:val="32"/>
        </w:rPr>
      </w:pPr>
      <w:r>
        <w:rPr>
          <w:rFonts w:hint="eastAsia" w:ascii="方正小标宋简体" w:hAnsi="方正小标宋简体" w:eastAsia="方正小标宋简体" w:cs="方正小标宋简体"/>
          <w:bCs/>
          <w:color w:val="auto"/>
          <w:spacing w:val="28"/>
          <w:sz w:val="32"/>
          <w:szCs w:val="32"/>
        </w:rPr>
        <w:t>2025年3月</w:t>
      </w:r>
    </w:p>
    <w:p w14:paraId="7037C50D">
      <w:pPr>
        <w:spacing w:line="300" w:lineRule="auto"/>
        <w:rPr>
          <w:rFonts w:hint="eastAsia" w:ascii="方正小标宋简体" w:hAnsi="方正小标宋简体" w:eastAsia="方正小标宋简体" w:cs="方正小标宋简体"/>
          <w:bCs/>
          <w:color w:val="auto"/>
          <w:sz w:val="28"/>
          <w:szCs w:val="28"/>
        </w:rPr>
        <w:sectPr>
          <w:headerReference r:id="rId3" w:type="default"/>
          <w:footerReference r:id="rId4" w:type="default"/>
          <w:pgSz w:w="11906" w:h="16838"/>
          <w:pgMar w:top="1440" w:right="1416" w:bottom="1440" w:left="1560" w:header="851" w:footer="992" w:gutter="0"/>
          <w:cols w:space="720" w:num="1"/>
          <w:docGrid w:type="lines" w:linePitch="312" w:charSpace="0"/>
        </w:sectPr>
      </w:pPr>
    </w:p>
    <w:p w14:paraId="2D2AEA40">
      <w:pPr>
        <w:spacing w:line="300" w:lineRule="auto"/>
        <w:jc w:val="center"/>
        <w:rPr>
          <w:rFonts w:hint="eastAsia" w:ascii="黑体" w:hAnsi="黑体" w:eastAsia="黑体"/>
          <w:b/>
          <w:color w:val="000000"/>
          <w:sz w:val="36"/>
          <w:szCs w:val="36"/>
        </w:rPr>
      </w:pPr>
      <w:r>
        <w:rPr>
          <w:rFonts w:hint="eastAsia" w:ascii="黑体" w:hAnsi="黑体" w:eastAsia="黑体"/>
          <w:b/>
          <w:color w:val="000000"/>
          <w:sz w:val="36"/>
          <w:szCs w:val="36"/>
        </w:rPr>
        <w:t>第一章</w:t>
      </w:r>
      <w:r>
        <w:rPr>
          <w:rFonts w:ascii="黑体" w:hAnsi="黑体" w:eastAsia="黑体"/>
          <w:b/>
          <w:color w:val="000000"/>
          <w:sz w:val="36"/>
          <w:szCs w:val="36"/>
        </w:rPr>
        <w:t xml:space="preserve"> </w:t>
      </w:r>
      <w:bookmarkStart w:id="0" w:name="_Toc446434284"/>
      <w:bookmarkEnd w:id="0"/>
      <w:r>
        <w:rPr>
          <w:rFonts w:hint="eastAsia" w:ascii="黑体" w:hAnsi="黑体" w:eastAsia="黑体"/>
          <w:b/>
          <w:color w:val="000000"/>
          <w:sz w:val="36"/>
          <w:szCs w:val="36"/>
        </w:rPr>
        <w:t xml:space="preserve">  竞争性谈判公告</w:t>
      </w:r>
    </w:p>
    <w:p w14:paraId="6037EFE0">
      <w:pPr>
        <w:widowControl w:val="0"/>
        <w:spacing w:line="360" w:lineRule="auto"/>
        <w:rPr>
          <w:rFonts w:hint="default" w:eastAsia="宋体" w:cs="Times New Roman"/>
          <w:b/>
          <w:bCs/>
          <w:kern w:val="2"/>
          <w:szCs w:val="22"/>
          <w:lang w:val="en-US" w:eastAsia="zh-CN"/>
        </w:rPr>
      </w:pPr>
      <w:r>
        <w:rPr>
          <w:rFonts w:cs="Times New Roman"/>
          <w:b/>
          <w:bCs/>
          <w:kern w:val="2"/>
          <w:szCs w:val="22"/>
        </w:rPr>
        <w:t>一、</w:t>
      </w:r>
      <w:r>
        <w:rPr>
          <w:rFonts w:hint="eastAsia" w:cs="Times New Roman"/>
          <w:b/>
          <w:bCs/>
          <w:kern w:val="2"/>
          <w:szCs w:val="22"/>
        </w:rPr>
        <w:t>招标</w:t>
      </w:r>
      <w:r>
        <w:rPr>
          <w:rFonts w:cs="Times New Roman"/>
          <w:b/>
          <w:bCs/>
          <w:kern w:val="2"/>
          <w:szCs w:val="22"/>
        </w:rPr>
        <w:t>编号：</w:t>
      </w:r>
      <w:r>
        <w:rPr>
          <w:rFonts w:hint="eastAsia" w:cs="Times New Roman"/>
          <w:b/>
          <w:bCs/>
          <w:kern w:val="2"/>
          <w:szCs w:val="22"/>
          <w:lang w:val="en-US" w:eastAsia="zh-CN"/>
        </w:rPr>
        <w:t>1253250304001</w:t>
      </w:r>
    </w:p>
    <w:p w14:paraId="1015340C">
      <w:pPr>
        <w:widowControl w:val="0"/>
        <w:spacing w:line="360" w:lineRule="auto"/>
        <w:rPr>
          <w:rFonts w:cs="Times New Roman"/>
          <w:b/>
          <w:bCs/>
          <w:kern w:val="2"/>
          <w:szCs w:val="22"/>
        </w:rPr>
      </w:pPr>
      <w:r>
        <w:rPr>
          <w:rFonts w:cs="Times New Roman"/>
          <w:b/>
          <w:bCs/>
          <w:kern w:val="2"/>
          <w:szCs w:val="22"/>
        </w:rPr>
        <w:t>二、</w:t>
      </w:r>
      <w:r>
        <w:rPr>
          <w:rFonts w:hint="eastAsia" w:cs="Times New Roman"/>
          <w:b/>
          <w:bCs/>
          <w:kern w:val="2"/>
          <w:szCs w:val="22"/>
        </w:rPr>
        <w:t>招标项目</w:t>
      </w:r>
      <w:r>
        <w:rPr>
          <w:rFonts w:cs="Times New Roman"/>
          <w:b/>
          <w:bCs/>
          <w:kern w:val="2"/>
          <w:szCs w:val="22"/>
        </w:rPr>
        <w:t>名称：</w:t>
      </w:r>
      <w:r>
        <w:rPr>
          <w:rFonts w:hint="eastAsia" w:cs="Times New Roman"/>
          <w:b/>
          <w:bCs/>
          <w:kern w:val="2"/>
          <w:szCs w:val="22"/>
        </w:rPr>
        <w:t>机制砂产线设备安装项目</w:t>
      </w:r>
    </w:p>
    <w:p w14:paraId="693C664B">
      <w:pPr>
        <w:pStyle w:val="2"/>
        <w:spacing w:after="0" w:line="360" w:lineRule="auto"/>
        <w:ind w:left="0" w:leftChars="0" w:firstLine="0" w:firstLineChars="0"/>
        <w:jc w:val="left"/>
        <w:rPr>
          <w:b/>
          <w:bCs/>
          <w:kern w:val="2"/>
          <w:szCs w:val="22"/>
        </w:rPr>
      </w:pPr>
      <w:r>
        <w:rPr>
          <w:b/>
          <w:bCs/>
          <w:kern w:val="2"/>
          <w:szCs w:val="22"/>
        </w:rPr>
        <w:t>三、</w:t>
      </w:r>
      <w:r>
        <w:rPr>
          <w:rFonts w:hint="eastAsia"/>
          <w:b/>
          <w:bCs/>
          <w:kern w:val="2"/>
          <w:szCs w:val="22"/>
        </w:rPr>
        <w:t>招标</w:t>
      </w:r>
      <w:r>
        <w:rPr>
          <w:b/>
          <w:bCs/>
          <w:kern w:val="2"/>
          <w:szCs w:val="22"/>
        </w:rPr>
        <w:t>内容</w:t>
      </w:r>
      <w:r>
        <w:rPr>
          <w:rFonts w:hint="eastAsia"/>
          <w:b/>
          <w:bCs/>
          <w:kern w:val="2"/>
          <w:szCs w:val="22"/>
        </w:rPr>
        <w:t>和主要条款</w:t>
      </w:r>
    </w:p>
    <w:p w14:paraId="4B101C37">
      <w:pPr>
        <w:widowControl w:val="0"/>
        <w:jc w:val="both"/>
        <w:rPr>
          <w:rFonts w:hint="eastAsia" w:ascii="仿宋_GB2312" w:hAnsi="黑体" w:eastAsia="仿宋_GB2312" w:cs="Times New Roman"/>
          <w:kern w:val="2"/>
          <w:szCs w:val="28"/>
        </w:rPr>
      </w:pPr>
      <w:r>
        <w:rPr>
          <w:rFonts w:hint="eastAsia" w:ascii="仿宋_GB2312" w:hAnsi="黑体" w:eastAsia="仿宋_GB2312" w:cs="Times New Roman"/>
          <w:kern w:val="2"/>
          <w:szCs w:val="28"/>
        </w:rPr>
        <w:t>机制砂产线设备安装项目，详见工程量清单</w:t>
      </w:r>
    </w:p>
    <w:tbl>
      <w:tblPr>
        <w:tblStyle w:val="6"/>
        <w:tblW w:w="7356" w:type="dxa"/>
        <w:tblInd w:w="108" w:type="dxa"/>
        <w:tblLayout w:type="autofit"/>
        <w:tblCellMar>
          <w:top w:w="0" w:type="dxa"/>
          <w:left w:w="108" w:type="dxa"/>
          <w:bottom w:w="0" w:type="dxa"/>
          <w:right w:w="108" w:type="dxa"/>
        </w:tblCellMar>
      </w:tblPr>
      <w:tblGrid>
        <w:gridCol w:w="760"/>
        <w:gridCol w:w="1460"/>
        <w:gridCol w:w="3560"/>
        <w:gridCol w:w="580"/>
        <w:gridCol w:w="960"/>
        <w:gridCol w:w="222"/>
      </w:tblGrid>
      <w:tr w14:paraId="175DDA41">
        <w:tblPrEx>
          <w:tblCellMar>
            <w:top w:w="0" w:type="dxa"/>
            <w:left w:w="108" w:type="dxa"/>
            <w:bottom w:w="0" w:type="dxa"/>
            <w:right w:w="108" w:type="dxa"/>
          </w:tblCellMar>
        </w:tblPrEx>
        <w:trPr>
          <w:gridAfter w:val="1"/>
          <w:wAfter w:w="36" w:type="dxa"/>
          <w:trHeight w:val="756" w:hRule="atLeast"/>
        </w:trPr>
        <w:tc>
          <w:tcPr>
            <w:tcW w:w="7320" w:type="dxa"/>
            <w:gridSpan w:val="5"/>
            <w:tcBorders>
              <w:top w:val="nil"/>
              <w:left w:val="nil"/>
              <w:bottom w:val="single" w:color="000000" w:sz="8" w:space="0"/>
              <w:right w:val="nil"/>
            </w:tcBorders>
            <w:shd w:val="clear" w:color="auto" w:fill="auto"/>
            <w:noWrap/>
            <w:vAlign w:val="center"/>
          </w:tcPr>
          <w:p w14:paraId="65D38B70">
            <w:pPr>
              <w:jc w:val="center"/>
              <w:rPr>
                <w:rFonts w:ascii="??" w:hAnsi="??"/>
                <w:color w:val="000000"/>
                <w:sz w:val="32"/>
                <w:szCs w:val="32"/>
              </w:rPr>
            </w:pPr>
            <w:r>
              <w:rPr>
                <w:rFonts w:ascii="??" w:hAnsi="??"/>
                <w:color w:val="000000"/>
                <w:sz w:val="32"/>
                <w:szCs w:val="32"/>
              </w:rPr>
              <w:t>机制砂产线设备安装工程量清单</w:t>
            </w:r>
          </w:p>
        </w:tc>
      </w:tr>
      <w:tr w14:paraId="4F9318F6">
        <w:tblPrEx>
          <w:tblCellMar>
            <w:top w:w="0" w:type="dxa"/>
            <w:left w:w="108" w:type="dxa"/>
            <w:bottom w:w="0" w:type="dxa"/>
            <w:right w:w="108" w:type="dxa"/>
          </w:tblCellMar>
        </w:tblPrEx>
        <w:trPr>
          <w:gridAfter w:val="1"/>
          <w:wAfter w:w="36" w:type="dxa"/>
          <w:trHeight w:val="315" w:hRule="atLeast"/>
        </w:trPr>
        <w:tc>
          <w:tcPr>
            <w:tcW w:w="760" w:type="dxa"/>
            <w:vMerge w:val="restart"/>
            <w:tcBorders>
              <w:top w:val="nil"/>
              <w:left w:val="single" w:color="000000" w:sz="8" w:space="0"/>
              <w:bottom w:val="single" w:color="000000" w:sz="4" w:space="0"/>
              <w:right w:val="single" w:color="000000" w:sz="4" w:space="0"/>
            </w:tcBorders>
            <w:shd w:val="clear" w:color="FFFFFF" w:fill="FFFFFF"/>
            <w:noWrap w:val="0"/>
            <w:vAlign w:val="center"/>
          </w:tcPr>
          <w:p w14:paraId="65EBE939">
            <w:pPr>
              <w:jc w:val="center"/>
              <w:rPr>
                <w:rFonts w:ascii="黑体" w:hAnsi="黑体" w:eastAsia="黑体"/>
                <w:sz w:val="18"/>
                <w:szCs w:val="18"/>
              </w:rPr>
            </w:pPr>
            <w:r>
              <w:rPr>
                <w:rFonts w:hint="eastAsia" w:ascii="黑体" w:hAnsi="黑体" w:eastAsia="黑体"/>
                <w:sz w:val="18"/>
                <w:szCs w:val="18"/>
              </w:rPr>
              <w:t>序号</w:t>
            </w:r>
          </w:p>
        </w:tc>
        <w:tc>
          <w:tcPr>
            <w:tcW w:w="1460" w:type="dxa"/>
            <w:vMerge w:val="restart"/>
            <w:tcBorders>
              <w:top w:val="nil"/>
              <w:left w:val="single" w:color="000000" w:sz="4" w:space="0"/>
              <w:bottom w:val="single" w:color="000000" w:sz="4" w:space="0"/>
              <w:right w:val="single" w:color="000000" w:sz="4" w:space="0"/>
            </w:tcBorders>
            <w:shd w:val="clear" w:color="FFFFFF" w:fill="FFFFFF"/>
            <w:noWrap w:val="0"/>
            <w:vAlign w:val="center"/>
          </w:tcPr>
          <w:p w14:paraId="1B125A2B">
            <w:pPr>
              <w:jc w:val="center"/>
              <w:rPr>
                <w:rFonts w:hint="eastAsia" w:ascii="黑体" w:hAnsi="黑体" w:eastAsia="黑体"/>
                <w:sz w:val="18"/>
                <w:szCs w:val="18"/>
              </w:rPr>
            </w:pPr>
            <w:r>
              <w:rPr>
                <w:rFonts w:hint="eastAsia" w:ascii="黑体" w:hAnsi="黑体" w:eastAsia="黑体"/>
                <w:sz w:val="18"/>
                <w:szCs w:val="18"/>
              </w:rPr>
              <w:t>项目编码</w:t>
            </w:r>
          </w:p>
        </w:tc>
        <w:tc>
          <w:tcPr>
            <w:tcW w:w="3560"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14:paraId="6F4BD09D">
            <w:pPr>
              <w:jc w:val="center"/>
              <w:rPr>
                <w:rFonts w:hint="eastAsia" w:ascii="黑体" w:hAnsi="黑体" w:eastAsia="黑体"/>
                <w:sz w:val="18"/>
                <w:szCs w:val="18"/>
              </w:rPr>
            </w:pPr>
            <w:r>
              <w:rPr>
                <w:rFonts w:hint="eastAsia" w:ascii="黑体" w:hAnsi="黑体" w:eastAsia="黑体"/>
                <w:sz w:val="18"/>
                <w:szCs w:val="18"/>
              </w:rPr>
              <w:t>项目名称</w:t>
            </w:r>
            <w:r>
              <w:rPr>
                <w:rFonts w:hint="eastAsia" w:ascii="黑体" w:hAnsi="黑体" w:eastAsia="黑体"/>
                <w:sz w:val="18"/>
                <w:szCs w:val="18"/>
              </w:rPr>
              <w:br w:type="textWrapping"/>
            </w:r>
            <w:r>
              <w:rPr>
                <w:rFonts w:hint="eastAsia" w:ascii="黑体" w:hAnsi="黑体" w:eastAsia="黑体"/>
                <w:sz w:val="18"/>
                <w:szCs w:val="18"/>
              </w:rPr>
              <w:t>项目特征</w:t>
            </w:r>
          </w:p>
        </w:tc>
        <w:tc>
          <w:tcPr>
            <w:tcW w:w="580" w:type="dxa"/>
            <w:vMerge w:val="restart"/>
            <w:tcBorders>
              <w:top w:val="nil"/>
              <w:left w:val="single" w:color="000000" w:sz="4" w:space="0"/>
              <w:bottom w:val="single" w:color="000000" w:sz="4" w:space="0"/>
              <w:right w:val="single" w:color="000000" w:sz="4" w:space="0"/>
            </w:tcBorders>
            <w:shd w:val="clear" w:color="FFFFFF" w:fill="FFFFFF"/>
            <w:noWrap w:val="0"/>
            <w:vAlign w:val="center"/>
          </w:tcPr>
          <w:p w14:paraId="69647EF1">
            <w:pPr>
              <w:jc w:val="center"/>
              <w:rPr>
                <w:rFonts w:hint="eastAsia" w:ascii="黑体" w:hAnsi="黑体" w:eastAsia="黑体"/>
                <w:sz w:val="18"/>
                <w:szCs w:val="18"/>
              </w:rPr>
            </w:pPr>
            <w:r>
              <w:rPr>
                <w:rFonts w:hint="eastAsia" w:ascii="黑体" w:hAnsi="黑体" w:eastAsia="黑体"/>
                <w:sz w:val="18"/>
                <w:szCs w:val="18"/>
              </w:rPr>
              <w:t>计量单位</w:t>
            </w:r>
          </w:p>
        </w:tc>
        <w:tc>
          <w:tcPr>
            <w:tcW w:w="960"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14:paraId="4B5A9FF6">
            <w:pPr>
              <w:jc w:val="center"/>
              <w:rPr>
                <w:rFonts w:hint="eastAsia" w:ascii="黑体" w:hAnsi="黑体" w:eastAsia="黑体"/>
                <w:sz w:val="18"/>
                <w:szCs w:val="18"/>
              </w:rPr>
            </w:pPr>
            <w:r>
              <w:rPr>
                <w:rFonts w:hint="eastAsia" w:ascii="黑体" w:hAnsi="黑体" w:eastAsia="黑体"/>
                <w:sz w:val="18"/>
                <w:szCs w:val="18"/>
              </w:rPr>
              <w:t>工程数量</w:t>
            </w:r>
          </w:p>
        </w:tc>
      </w:tr>
      <w:tr w14:paraId="2606FDD6">
        <w:tblPrEx>
          <w:tblCellMar>
            <w:top w:w="0" w:type="dxa"/>
            <w:left w:w="108" w:type="dxa"/>
            <w:bottom w:w="0" w:type="dxa"/>
            <w:right w:w="108" w:type="dxa"/>
          </w:tblCellMar>
        </w:tblPrEx>
        <w:trPr>
          <w:trHeight w:val="510" w:hRule="atLeast"/>
        </w:trPr>
        <w:tc>
          <w:tcPr>
            <w:tcW w:w="760" w:type="dxa"/>
            <w:vMerge w:val="continue"/>
            <w:tcBorders>
              <w:top w:val="nil"/>
              <w:left w:val="single" w:color="000000" w:sz="8" w:space="0"/>
              <w:bottom w:val="single" w:color="000000" w:sz="4" w:space="0"/>
              <w:right w:val="single" w:color="000000" w:sz="4" w:space="0"/>
            </w:tcBorders>
            <w:shd w:val="clear" w:color="auto" w:fill="auto"/>
            <w:noWrap w:val="0"/>
            <w:vAlign w:val="center"/>
          </w:tcPr>
          <w:p w14:paraId="74DDBD87">
            <w:pPr>
              <w:rPr>
                <w:rFonts w:ascii="黑体" w:hAnsi="黑体" w:eastAsia="黑体"/>
                <w:sz w:val="18"/>
                <w:szCs w:val="18"/>
              </w:rPr>
            </w:pPr>
          </w:p>
        </w:tc>
        <w:tc>
          <w:tcPr>
            <w:tcW w:w="1460" w:type="dxa"/>
            <w:vMerge w:val="continue"/>
            <w:tcBorders>
              <w:top w:val="nil"/>
              <w:left w:val="single" w:color="000000" w:sz="4" w:space="0"/>
              <w:bottom w:val="single" w:color="000000" w:sz="4" w:space="0"/>
              <w:right w:val="single" w:color="000000" w:sz="4" w:space="0"/>
            </w:tcBorders>
            <w:shd w:val="clear" w:color="auto" w:fill="auto"/>
            <w:noWrap w:val="0"/>
            <w:vAlign w:val="center"/>
          </w:tcPr>
          <w:p w14:paraId="32634ACB">
            <w:pPr>
              <w:rPr>
                <w:rFonts w:ascii="黑体" w:hAnsi="黑体" w:eastAsia="黑体"/>
                <w:sz w:val="18"/>
                <w:szCs w:val="18"/>
              </w:rPr>
            </w:pPr>
          </w:p>
        </w:tc>
        <w:tc>
          <w:tcPr>
            <w:tcW w:w="3560" w:type="dxa"/>
            <w:vMerge w:val="continue"/>
            <w:tcBorders>
              <w:top w:val="single" w:color="000000" w:sz="8" w:space="0"/>
              <w:left w:val="single" w:color="000000" w:sz="4" w:space="0"/>
              <w:bottom w:val="single" w:color="000000" w:sz="4" w:space="0"/>
              <w:right w:val="single" w:color="000000" w:sz="4" w:space="0"/>
            </w:tcBorders>
            <w:shd w:val="clear" w:color="auto" w:fill="auto"/>
            <w:noWrap w:val="0"/>
            <w:vAlign w:val="center"/>
          </w:tcPr>
          <w:p w14:paraId="5842FB13">
            <w:pPr>
              <w:rPr>
                <w:rFonts w:ascii="黑体" w:hAnsi="黑体" w:eastAsia="黑体"/>
                <w:sz w:val="18"/>
                <w:szCs w:val="18"/>
              </w:rPr>
            </w:pPr>
          </w:p>
        </w:tc>
        <w:tc>
          <w:tcPr>
            <w:tcW w:w="580" w:type="dxa"/>
            <w:vMerge w:val="continue"/>
            <w:tcBorders>
              <w:top w:val="nil"/>
              <w:left w:val="single" w:color="000000" w:sz="4" w:space="0"/>
              <w:bottom w:val="single" w:color="000000" w:sz="4" w:space="0"/>
              <w:right w:val="single" w:color="000000" w:sz="4" w:space="0"/>
            </w:tcBorders>
            <w:shd w:val="clear" w:color="auto" w:fill="auto"/>
            <w:noWrap w:val="0"/>
            <w:vAlign w:val="center"/>
          </w:tcPr>
          <w:p w14:paraId="0AC3B92D">
            <w:pPr>
              <w:rPr>
                <w:rFonts w:ascii="黑体" w:hAnsi="黑体" w:eastAsia="黑体"/>
                <w:sz w:val="18"/>
                <w:szCs w:val="18"/>
              </w:rPr>
            </w:pPr>
          </w:p>
        </w:tc>
        <w:tc>
          <w:tcPr>
            <w:tcW w:w="960" w:type="dxa"/>
            <w:vMerge w:val="continue"/>
            <w:tcBorders>
              <w:top w:val="single" w:color="000000" w:sz="8" w:space="0"/>
              <w:left w:val="single" w:color="000000" w:sz="4" w:space="0"/>
              <w:bottom w:val="single" w:color="000000" w:sz="4" w:space="0"/>
              <w:right w:val="single" w:color="000000" w:sz="4" w:space="0"/>
            </w:tcBorders>
            <w:shd w:val="clear" w:color="auto" w:fill="auto"/>
            <w:noWrap w:val="0"/>
            <w:vAlign w:val="center"/>
          </w:tcPr>
          <w:p w14:paraId="049B388B">
            <w:pPr>
              <w:rPr>
                <w:rFonts w:ascii="黑体" w:hAnsi="黑体" w:eastAsia="黑体"/>
                <w:sz w:val="18"/>
                <w:szCs w:val="18"/>
              </w:rPr>
            </w:pPr>
          </w:p>
        </w:tc>
        <w:tc>
          <w:tcPr>
            <w:tcW w:w="36" w:type="dxa"/>
            <w:tcBorders>
              <w:top w:val="nil"/>
              <w:left w:val="nil"/>
              <w:bottom w:val="nil"/>
              <w:right w:val="nil"/>
            </w:tcBorders>
            <w:shd w:val="clear" w:color="auto" w:fill="auto"/>
            <w:noWrap/>
            <w:vAlign w:val="bottom"/>
          </w:tcPr>
          <w:p w14:paraId="389F2729">
            <w:pPr>
              <w:jc w:val="center"/>
              <w:rPr>
                <w:rFonts w:hint="eastAsia" w:ascii="黑体" w:hAnsi="黑体" w:eastAsia="黑体"/>
                <w:sz w:val="18"/>
                <w:szCs w:val="18"/>
              </w:rPr>
            </w:pPr>
          </w:p>
        </w:tc>
      </w:tr>
      <w:tr w14:paraId="0452B50C">
        <w:tblPrEx>
          <w:tblCellMar>
            <w:top w:w="0" w:type="dxa"/>
            <w:left w:w="108" w:type="dxa"/>
            <w:bottom w:w="0" w:type="dxa"/>
            <w:right w:w="108" w:type="dxa"/>
          </w:tblCellMar>
        </w:tblPrEx>
        <w:trPr>
          <w:trHeight w:val="315" w:hRule="atLeast"/>
        </w:trPr>
        <w:tc>
          <w:tcPr>
            <w:tcW w:w="760" w:type="dxa"/>
            <w:tcBorders>
              <w:top w:val="nil"/>
              <w:left w:val="single" w:color="000000" w:sz="8" w:space="0"/>
              <w:bottom w:val="single" w:color="000000" w:sz="4" w:space="0"/>
              <w:right w:val="single" w:color="000000" w:sz="4" w:space="0"/>
            </w:tcBorders>
            <w:shd w:val="clear" w:color="FFFFFF" w:fill="FFFFFF"/>
            <w:noWrap w:val="0"/>
            <w:vAlign w:val="center"/>
          </w:tcPr>
          <w:p w14:paraId="0620ADAC">
            <w:pPr>
              <w:rPr>
                <w:sz w:val="18"/>
                <w:szCs w:val="18"/>
              </w:rPr>
            </w:pPr>
            <w:r>
              <w:rPr>
                <w:rFonts w:hint="eastAsia"/>
                <w:sz w:val="18"/>
                <w:szCs w:val="18"/>
              </w:rPr>
              <w:t>　</w:t>
            </w:r>
          </w:p>
        </w:tc>
        <w:tc>
          <w:tcPr>
            <w:tcW w:w="1460" w:type="dxa"/>
            <w:tcBorders>
              <w:top w:val="nil"/>
              <w:left w:val="nil"/>
              <w:bottom w:val="single" w:color="000000" w:sz="4" w:space="0"/>
              <w:right w:val="single" w:color="000000" w:sz="4" w:space="0"/>
            </w:tcBorders>
            <w:shd w:val="clear" w:color="FFFFFF" w:fill="FFFFFF"/>
            <w:noWrap w:val="0"/>
            <w:vAlign w:val="center"/>
          </w:tcPr>
          <w:p w14:paraId="6A980953">
            <w:pPr>
              <w:rPr>
                <w:rFonts w:hint="eastAsia"/>
                <w:sz w:val="18"/>
                <w:szCs w:val="18"/>
              </w:rPr>
            </w:pPr>
            <w:r>
              <w:rPr>
                <w:rFonts w:hint="eastAsia"/>
                <w:sz w:val="18"/>
                <w:szCs w:val="18"/>
              </w:rPr>
              <w:t>　</w:t>
            </w:r>
          </w:p>
        </w:tc>
        <w:tc>
          <w:tcPr>
            <w:tcW w:w="3560" w:type="dxa"/>
            <w:tcBorders>
              <w:top w:val="single" w:color="000000" w:sz="4" w:space="0"/>
              <w:left w:val="nil"/>
              <w:bottom w:val="single" w:color="000000" w:sz="4" w:space="0"/>
              <w:right w:val="single" w:color="000000" w:sz="4" w:space="0"/>
            </w:tcBorders>
            <w:shd w:val="clear" w:color="FFFFFF" w:fill="FFFFFF"/>
            <w:noWrap w:val="0"/>
            <w:vAlign w:val="center"/>
          </w:tcPr>
          <w:p w14:paraId="3FA27A90">
            <w:pPr>
              <w:rPr>
                <w:rFonts w:hint="eastAsia"/>
                <w:sz w:val="18"/>
                <w:szCs w:val="18"/>
              </w:rPr>
            </w:pPr>
            <w:r>
              <w:rPr>
                <w:rFonts w:hint="eastAsia"/>
                <w:sz w:val="18"/>
                <w:szCs w:val="18"/>
              </w:rPr>
              <w:t>原设备挪移及拆除</w:t>
            </w:r>
          </w:p>
        </w:tc>
        <w:tc>
          <w:tcPr>
            <w:tcW w:w="580" w:type="dxa"/>
            <w:tcBorders>
              <w:top w:val="nil"/>
              <w:left w:val="nil"/>
              <w:bottom w:val="single" w:color="000000" w:sz="4" w:space="0"/>
              <w:right w:val="single" w:color="000000" w:sz="4" w:space="0"/>
            </w:tcBorders>
            <w:shd w:val="clear" w:color="FFFFFF" w:fill="FFFFFF"/>
            <w:noWrap w:val="0"/>
            <w:vAlign w:val="center"/>
          </w:tcPr>
          <w:p w14:paraId="65EFE125">
            <w:pPr>
              <w:rPr>
                <w:rFonts w:hint="eastAsia"/>
                <w:sz w:val="18"/>
                <w:szCs w:val="18"/>
              </w:rPr>
            </w:pPr>
            <w:r>
              <w:rPr>
                <w:rFonts w:hint="eastAsia"/>
                <w:sz w:val="18"/>
                <w:szCs w:val="18"/>
              </w:rPr>
              <w:t>　</w:t>
            </w:r>
          </w:p>
        </w:tc>
        <w:tc>
          <w:tcPr>
            <w:tcW w:w="960" w:type="dxa"/>
            <w:tcBorders>
              <w:top w:val="single" w:color="000000" w:sz="4" w:space="0"/>
              <w:left w:val="nil"/>
              <w:bottom w:val="single" w:color="000000" w:sz="4" w:space="0"/>
              <w:right w:val="single" w:color="000000" w:sz="4" w:space="0"/>
            </w:tcBorders>
            <w:shd w:val="clear" w:color="FFFFFF" w:fill="FFFFFF"/>
            <w:noWrap w:val="0"/>
            <w:vAlign w:val="center"/>
          </w:tcPr>
          <w:p w14:paraId="1D746E59">
            <w:pPr>
              <w:rPr>
                <w:rFonts w:hint="eastAsia"/>
                <w:sz w:val="18"/>
                <w:szCs w:val="18"/>
              </w:rPr>
            </w:pPr>
            <w:r>
              <w:rPr>
                <w:rFonts w:hint="eastAsia"/>
                <w:sz w:val="18"/>
                <w:szCs w:val="18"/>
              </w:rPr>
              <w:t>　</w:t>
            </w:r>
          </w:p>
        </w:tc>
        <w:tc>
          <w:tcPr>
            <w:tcW w:w="36" w:type="dxa"/>
            <w:noWrap w:val="0"/>
            <w:vAlign w:val="center"/>
          </w:tcPr>
          <w:p w14:paraId="2D9DFD9B">
            <w:pPr>
              <w:rPr>
                <w:rFonts w:ascii="Times New Roman" w:hAnsi="Times New Roman" w:eastAsia="Times New Roman" w:cs="Times New Roman"/>
                <w:sz w:val="20"/>
                <w:szCs w:val="20"/>
              </w:rPr>
            </w:pPr>
          </w:p>
        </w:tc>
      </w:tr>
      <w:tr w14:paraId="41BA3988">
        <w:tblPrEx>
          <w:tblCellMar>
            <w:top w:w="0" w:type="dxa"/>
            <w:left w:w="108" w:type="dxa"/>
            <w:bottom w:w="0" w:type="dxa"/>
            <w:right w:w="108" w:type="dxa"/>
          </w:tblCellMar>
        </w:tblPrEx>
        <w:trPr>
          <w:trHeight w:val="960" w:hRule="atLeast"/>
        </w:trPr>
        <w:tc>
          <w:tcPr>
            <w:tcW w:w="760" w:type="dxa"/>
            <w:tcBorders>
              <w:top w:val="nil"/>
              <w:left w:val="single" w:color="000000" w:sz="8" w:space="0"/>
              <w:bottom w:val="single" w:color="000000" w:sz="4" w:space="0"/>
              <w:right w:val="single" w:color="000000" w:sz="4" w:space="0"/>
            </w:tcBorders>
            <w:shd w:val="clear" w:color="FFFFFF" w:fill="FFFFFF"/>
            <w:noWrap w:val="0"/>
            <w:vAlign w:val="center"/>
          </w:tcPr>
          <w:p w14:paraId="71FDBDF0">
            <w:pPr>
              <w:jc w:val="center"/>
              <w:rPr>
                <w:rFonts w:hint="eastAsia"/>
                <w:sz w:val="18"/>
                <w:szCs w:val="18"/>
              </w:rPr>
            </w:pPr>
            <w:r>
              <w:rPr>
                <w:rFonts w:hint="eastAsia"/>
                <w:sz w:val="18"/>
                <w:szCs w:val="18"/>
              </w:rPr>
              <w:t>1</w:t>
            </w:r>
          </w:p>
        </w:tc>
        <w:tc>
          <w:tcPr>
            <w:tcW w:w="1460" w:type="dxa"/>
            <w:tcBorders>
              <w:top w:val="nil"/>
              <w:left w:val="nil"/>
              <w:bottom w:val="single" w:color="000000" w:sz="4" w:space="0"/>
              <w:right w:val="single" w:color="000000" w:sz="4" w:space="0"/>
            </w:tcBorders>
            <w:shd w:val="clear" w:color="FFFFFF" w:fill="FFFFFF"/>
            <w:noWrap w:val="0"/>
            <w:vAlign w:val="center"/>
          </w:tcPr>
          <w:p w14:paraId="48EC2A2E">
            <w:pPr>
              <w:rPr>
                <w:rFonts w:hint="eastAsia"/>
                <w:sz w:val="18"/>
                <w:szCs w:val="18"/>
              </w:rPr>
            </w:pPr>
            <w:r>
              <w:rPr>
                <w:rFonts w:hint="eastAsia"/>
                <w:sz w:val="18"/>
                <w:szCs w:val="18"/>
              </w:rPr>
              <w:t>070111005001</w:t>
            </w:r>
          </w:p>
        </w:tc>
        <w:tc>
          <w:tcPr>
            <w:tcW w:w="3560" w:type="dxa"/>
            <w:tcBorders>
              <w:top w:val="single" w:color="000000" w:sz="4" w:space="0"/>
              <w:left w:val="nil"/>
              <w:bottom w:val="single" w:color="000000" w:sz="4" w:space="0"/>
              <w:right w:val="single" w:color="000000" w:sz="4" w:space="0"/>
            </w:tcBorders>
            <w:shd w:val="clear" w:color="FFFFFF" w:fill="FFFFFF"/>
            <w:noWrap w:val="0"/>
            <w:vAlign w:val="center"/>
          </w:tcPr>
          <w:p w14:paraId="6A030EB4">
            <w:pPr>
              <w:rPr>
                <w:rFonts w:hint="eastAsia"/>
                <w:sz w:val="18"/>
                <w:szCs w:val="18"/>
              </w:rPr>
            </w:pPr>
            <w:r>
              <w:rPr>
                <w:rFonts w:hint="eastAsia"/>
                <w:sz w:val="18"/>
                <w:szCs w:val="18"/>
              </w:rPr>
              <w:t>压型钢板围护结构拆除</w:t>
            </w:r>
            <w:r>
              <w:rPr>
                <w:rFonts w:hint="eastAsia"/>
                <w:sz w:val="18"/>
                <w:szCs w:val="18"/>
              </w:rPr>
              <w:br w:type="textWrapping"/>
            </w:r>
            <w:r>
              <w:rPr>
                <w:rFonts w:hint="eastAsia"/>
                <w:sz w:val="18"/>
                <w:szCs w:val="18"/>
              </w:rPr>
              <w:t>1.保护性拆除彩钢压型板及檩条</w:t>
            </w:r>
            <w:r>
              <w:rPr>
                <w:rFonts w:hint="eastAsia"/>
                <w:sz w:val="18"/>
                <w:szCs w:val="18"/>
              </w:rPr>
              <w:br w:type="textWrapping"/>
            </w:r>
            <w:r>
              <w:rPr>
                <w:rFonts w:hint="eastAsia"/>
                <w:sz w:val="18"/>
                <w:szCs w:val="18"/>
              </w:rPr>
              <w:t>2.存放至按甲方指定位置</w:t>
            </w:r>
            <w:r>
              <w:rPr>
                <w:rFonts w:hint="eastAsia"/>
                <w:sz w:val="18"/>
                <w:szCs w:val="18"/>
              </w:rPr>
              <w:br w:type="textWrapping"/>
            </w:r>
            <w:r>
              <w:rPr>
                <w:rFonts w:hint="eastAsia"/>
                <w:sz w:val="18"/>
                <w:szCs w:val="18"/>
              </w:rPr>
              <w:t>3.措施费综合考虑</w:t>
            </w:r>
          </w:p>
        </w:tc>
        <w:tc>
          <w:tcPr>
            <w:tcW w:w="580" w:type="dxa"/>
            <w:tcBorders>
              <w:top w:val="nil"/>
              <w:left w:val="nil"/>
              <w:bottom w:val="single" w:color="000000" w:sz="4" w:space="0"/>
              <w:right w:val="single" w:color="000000" w:sz="4" w:space="0"/>
            </w:tcBorders>
            <w:shd w:val="clear" w:color="FFFFFF" w:fill="FFFFFF"/>
            <w:noWrap w:val="0"/>
            <w:vAlign w:val="center"/>
          </w:tcPr>
          <w:p w14:paraId="1FE7EDB1">
            <w:pPr>
              <w:jc w:val="center"/>
              <w:rPr>
                <w:rFonts w:hint="eastAsia"/>
                <w:sz w:val="18"/>
                <w:szCs w:val="18"/>
              </w:rPr>
            </w:pPr>
            <w:r>
              <w:rPr>
                <w:rFonts w:hint="eastAsia"/>
                <w:sz w:val="18"/>
                <w:szCs w:val="18"/>
              </w:rPr>
              <w:t>m2</w:t>
            </w:r>
          </w:p>
        </w:tc>
        <w:tc>
          <w:tcPr>
            <w:tcW w:w="960" w:type="dxa"/>
            <w:tcBorders>
              <w:top w:val="single" w:color="000000" w:sz="4" w:space="0"/>
              <w:left w:val="nil"/>
              <w:bottom w:val="single" w:color="000000" w:sz="4" w:space="0"/>
              <w:right w:val="single" w:color="000000" w:sz="4" w:space="0"/>
            </w:tcBorders>
            <w:shd w:val="clear" w:color="FFFFFF" w:fill="FFFFFF"/>
            <w:noWrap w:val="0"/>
            <w:vAlign w:val="center"/>
          </w:tcPr>
          <w:p w14:paraId="1B06AE6B">
            <w:pPr>
              <w:jc w:val="right"/>
              <w:rPr>
                <w:rFonts w:hint="eastAsia"/>
                <w:sz w:val="18"/>
                <w:szCs w:val="18"/>
              </w:rPr>
            </w:pPr>
            <w:r>
              <w:rPr>
                <w:rFonts w:hint="eastAsia"/>
                <w:sz w:val="18"/>
                <w:szCs w:val="18"/>
              </w:rPr>
              <w:t>200</w:t>
            </w:r>
          </w:p>
        </w:tc>
        <w:tc>
          <w:tcPr>
            <w:tcW w:w="36" w:type="dxa"/>
            <w:noWrap w:val="0"/>
            <w:vAlign w:val="center"/>
          </w:tcPr>
          <w:p w14:paraId="29A747EE">
            <w:pPr>
              <w:rPr>
                <w:rFonts w:ascii="Times New Roman" w:hAnsi="Times New Roman" w:eastAsia="Times New Roman" w:cs="Times New Roman"/>
                <w:sz w:val="20"/>
                <w:szCs w:val="20"/>
              </w:rPr>
            </w:pPr>
          </w:p>
        </w:tc>
      </w:tr>
      <w:tr w14:paraId="2AAEDD92">
        <w:tblPrEx>
          <w:tblCellMar>
            <w:top w:w="0" w:type="dxa"/>
            <w:left w:w="108" w:type="dxa"/>
            <w:bottom w:w="0" w:type="dxa"/>
            <w:right w:w="108" w:type="dxa"/>
          </w:tblCellMar>
        </w:tblPrEx>
        <w:trPr>
          <w:trHeight w:val="1410" w:hRule="atLeast"/>
        </w:trPr>
        <w:tc>
          <w:tcPr>
            <w:tcW w:w="760" w:type="dxa"/>
            <w:tcBorders>
              <w:top w:val="nil"/>
              <w:left w:val="single" w:color="000000" w:sz="8" w:space="0"/>
              <w:bottom w:val="single" w:color="000000" w:sz="4" w:space="0"/>
              <w:right w:val="single" w:color="000000" w:sz="4" w:space="0"/>
            </w:tcBorders>
            <w:shd w:val="clear" w:color="FFFFFF" w:fill="FFFFFF"/>
            <w:noWrap w:val="0"/>
            <w:vAlign w:val="center"/>
          </w:tcPr>
          <w:p w14:paraId="3E998726">
            <w:pPr>
              <w:jc w:val="center"/>
              <w:rPr>
                <w:rFonts w:hint="eastAsia"/>
                <w:sz w:val="18"/>
                <w:szCs w:val="18"/>
              </w:rPr>
            </w:pPr>
            <w:r>
              <w:rPr>
                <w:rFonts w:hint="eastAsia"/>
                <w:sz w:val="18"/>
                <w:szCs w:val="18"/>
              </w:rPr>
              <w:t>2</w:t>
            </w:r>
          </w:p>
        </w:tc>
        <w:tc>
          <w:tcPr>
            <w:tcW w:w="1460" w:type="dxa"/>
            <w:tcBorders>
              <w:top w:val="nil"/>
              <w:left w:val="nil"/>
              <w:bottom w:val="single" w:color="000000" w:sz="4" w:space="0"/>
              <w:right w:val="single" w:color="000000" w:sz="4" w:space="0"/>
            </w:tcBorders>
            <w:shd w:val="clear" w:color="FFFFFF" w:fill="FFFFFF"/>
            <w:noWrap w:val="0"/>
            <w:vAlign w:val="center"/>
          </w:tcPr>
          <w:p w14:paraId="5125121E">
            <w:pPr>
              <w:rPr>
                <w:rFonts w:hint="eastAsia"/>
                <w:sz w:val="18"/>
                <w:szCs w:val="18"/>
              </w:rPr>
            </w:pPr>
            <w:r>
              <w:rPr>
                <w:rFonts w:hint="eastAsia"/>
                <w:sz w:val="18"/>
                <w:szCs w:val="18"/>
              </w:rPr>
              <w:t>010901002001</w:t>
            </w:r>
          </w:p>
        </w:tc>
        <w:tc>
          <w:tcPr>
            <w:tcW w:w="3560" w:type="dxa"/>
            <w:tcBorders>
              <w:top w:val="single" w:color="000000" w:sz="4" w:space="0"/>
              <w:left w:val="nil"/>
              <w:bottom w:val="single" w:color="000000" w:sz="4" w:space="0"/>
              <w:right w:val="single" w:color="000000" w:sz="4" w:space="0"/>
            </w:tcBorders>
            <w:shd w:val="clear" w:color="FFFFFF" w:fill="FFFFFF"/>
            <w:noWrap w:val="0"/>
            <w:vAlign w:val="center"/>
          </w:tcPr>
          <w:p w14:paraId="5224CB6B">
            <w:pPr>
              <w:rPr>
                <w:rFonts w:hint="eastAsia"/>
                <w:sz w:val="18"/>
                <w:szCs w:val="18"/>
              </w:rPr>
            </w:pPr>
            <w:r>
              <w:rPr>
                <w:rFonts w:hint="eastAsia"/>
                <w:sz w:val="18"/>
                <w:szCs w:val="18"/>
              </w:rPr>
              <w:t>压型板封闭</w:t>
            </w:r>
            <w:r>
              <w:rPr>
                <w:rFonts w:hint="eastAsia"/>
                <w:sz w:val="18"/>
                <w:szCs w:val="18"/>
              </w:rPr>
              <w:br w:type="textWrapping"/>
            </w:r>
            <w:r>
              <w:rPr>
                <w:rFonts w:hint="eastAsia"/>
                <w:sz w:val="18"/>
                <w:szCs w:val="18"/>
              </w:rPr>
              <w:t>部位：墙面与顶面</w:t>
            </w:r>
            <w:r>
              <w:rPr>
                <w:rFonts w:hint="eastAsia"/>
                <w:sz w:val="18"/>
                <w:szCs w:val="18"/>
              </w:rPr>
              <w:br w:type="textWrapping"/>
            </w:r>
            <w:r>
              <w:rPr>
                <w:rFonts w:hint="eastAsia"/>
                <w:sz w:val="18"/>
                <w:szCs w:val="18"/>
              </w:rPr>
              <w:t>1.利旧原维护檩条及彩钢瓦</w:t>
            </w:r>
            <w:r>
              <w:rPr>
                <w:rFonts w:hint="eastAsia"/>
                <w:sz w:val="18"/>
                <w:szCs w:val="18"/>
              </w:rPr>
              <w:br w:type="textWrapping"/>
            </w:r>
            <w:r>
              <w:rPr>
                <w:rFonts w:hint="eastAsia"/>
                <w:sz w:val="18"/>
                <w:szCs w:val="18"/>
              </w:rPr>
              <w:t>2.安装脊瓦及檐口门窗口</w:t>
            </w:r>
            <w:r>
              <w:rPr>
                <w:rFonts w:hint="eastAsia"/>
                <w:sz w:val="18"/>
                <w:szCs w:val="18"/>
              </w:rPr>
              <w:br w:type="textWrapping"/>
            </w:r>
            <w:r>
              <w:rPr>
                <w:rFonts w:hint="eastAsia"/>
                <w:sz w:val="18"/>
                <w:szCs w:val="18"/>
              </w:rPr>
              <w:t>3.彩钢瓦双开门制作安装</w:t>
            </w:r>
            <w:r>
              <w:rPr>
                <w:rFonts w:hint="eastAsia"/>
                <w:sz w:val="18"/>
                <w:szCs w:val="18"/>
              </w:rPr>
              <w:br w:type="textWrapping"/>
            </w:r>
            <w:r>
              <w:rPr>
                <w:rFonts w:hint="eastAsia"/>
                <w:sz w:val="18"/>
                <w:szCs w:val="18"/>
              </w:rPr>
              <w:t>4.措施费综合考虑</w:t>
            </w:r>
          </w:p>
        </w:tc>
        <w:tc>
          <w:tcPr>
            <w:tcW w:w="580" w:type="dxa"/>
            <w:tcBorders>
              <w:top w:val="nil"/>
              <w:left w:val="nil"/>
              <w:bottom w:val="single" w:color="000000" w:sz="4" w:space="0"/>
              <w:right w:val="single" w:color="000000" w:sz="4" w:space="0"/>
            </w:tcBorders>
            <w:shd w:val="clear" w:color="FFFFFF" w:fill="FFFFFF"/>
            <w:noWrap w:val="0"/>
            <w:vAlign w:val="center"/>
          </w:tcPr>
          <w:p w14:paraId="6AFA1C51">
            <w:pPr>
              <w:jc w:val="center"/>
              <w:rPr>
                <w:rFonts w:hint="eastAsia"/>
                <w:sz w:val="18"/>
                <w:szCs w:val="18"/>
              </w:rPr>
            </w:pPr>
            <w:r>
              <w:rPr>
                <w:rFonts w:hint="eastAsia"/>
                <w:sz w:val="18"/>
                <w:szCs w:val="18"/>
              </w:rPr>
              <w:t>m2</w:t>
            </w:r>
          </w:p>
        </w:tc>
        <w:tc>
          <w:tcPr>
            <w:tcW w:w="960" w:type="dxa"/>
            <w:tcBorders>
              <w:top w:val="single" w:color="000000" w:sz="4" w:space="0"/>
              <w:left w:val="nil"/>
              <w:bottom w:val="single" w:color="000000" w:sz="4" w:space="0"/>
              <w:right w:val="single" w:color="000000" w:sz="4" w:space="0"/>
            </w:tcBorders>
            <w:shd w:val="clear" w:color="FFFFFF" w:fill="FFFFFF"/>
            <w:noWrap w:val="0"/>
            <w:vAlign w:val="center"/>
          </w:tcPr>
          <w:p w14:paraId="29F1AE83">
            <w:pPr>
              <w:jc w:val="right"/>
              <w:rPr>
                <w:rFonts w:hint="eastAsia"/>
                <w:sz w:val="18"/>
                <w:szCs w:val="18"/>
              </w:rPr>
            </w:pPr>
            <w:r>
              <w:rPr>
                <w:rFonts w:hint="eastAsia"/>
                <w:sz w:val="18"/>
                <w:szCs w:val="18"/>
              </w:rPr>
              <w:t>200</w:t>
            </w:r>
          </w:p>
        </w:tc>
        <w:tc>
          <w:tcPr>
            <w:tcW w:w="36" w:type="dxa"/>
            <w:noWrap w:val="0"/>
            <w:vAlign w:val="center"/>
          </w:tcPr>
          <w:p w14:paraId="58A52B83">
            <w:pPr>
              <w:rPr>
                <w:rFonts w:ascii="Times New Roman" w:hAnsi="Times New Roman" w:eastAsia="Times New Roman" w:cs="Times New Roman"/>
                <w:sz w:val="20"/>
                <w:szCs w:val="20"/>
              </w:rPr>
            </w:pPr>
          </w:p>
        </w:tc>
      </w:tr>
      <w:tr w14:paraId="70FE2BD3">
        <w:tblPrEx>
          <w:tblCellMar>
            <w:top w:w="0" w:type="dxa"/>
            <w:left w:w="108" w:type="dxa"/>
            <w:bottom w:w="0" w:type="dxa"/>
            <w:right w:w="108" w:type="dxa"/>
          </w:tblCellMar>
        </w:tblPrEx>
        <w:trPr>
          <w:trHeight w:val="1185" w:hRule="atLeast"/>
        </w:trPr>
        <w:tc>
          <w:tcPr>
            <w:tcW w:w="760" w:type="dxa"/>
            <w:tcBorders>
              <w:top w:val="nil"/>
              <w:left w:val="single" w:color="000000" w:sz="8" w:space="0"/>
              <w:bottom w:val="single" w:color="000000" w:sz="4" w:space="0"/>
              <w:right w:val="single" w:color="000000" w:sz="4" w:space="0"/>
            </w:tcBorders>
            <w:shd w:val="clear" w:color="FFFFFF" w:fill="FFFFFF"/>
            <w:noWrap w:val="0"/>
            <w:vAlign w:val="center"/>
          </w:tcPr>
          <w:p w14:paraId="7E4252C4">
            <w:pPr>
              <w:jc w:val="center"/>
              <w:rPr>
                <w:rFonts w:hint="eastAsia"/>
                <w:sz w:val="18"/>
                <w:szCs w:val="18"/>
              </w:rPr>
            </w:pPr>
            <w:r>
              <w:rPr>
                <w:rFonts w:hint="eastAsia"/>
                <w:sz w:val="18"/>
                <w:szCs w:val="18"/>
              </w:rPr>
              <w:t>3</w:t>
            </w:r>
          </w:p>
        </w:tc>
        <w:tc>
          <w:tcPr>
            <w:tcW w:w="1460" w:type="dxa"/>
            <w:tcBorders>
              <w:top w:val="nil"/>
              <w:left w:val="nil"/>
              <w:bottom w:val="single" w:color="000000" w:sz="4" w:space="0"/>
              <w:right w:val="single" w:color="000000" w:sz="4" w:space="0"/>
            </w:tcBorders>
            <w:shd w:val="clear" w:color="FFFFFF" w:fill="FFFFFF"/>
            <w:noWrap w:val="0"/>
            <w:vAlign w:val="center"/>
          </w:tcPr>
          <w:p w14:paraId="46FCF3DE">
            <w:pPr>
              <w:rPr>
                <w:rFonts w:hint="eastAsia"/>
                <w:sz w:val="18"/>
                <w:szCs w:val="18"/>
              </w:rPr>
            </w:pPr>
            <w:r>
              <w:rPr>
                <w:rFonts w:hint="eastAsia"/>
                <w:sz w:val="18"/>
                <w:szCs w:val="18"/>
              </w:rPr>
              <w:t>011611004001</w:t>
            </w:r>
          </w:p>
        </w:tc>
        <w:tc>
          <w:tcPr>
            <w:tcW w:w="3560" w:type="dxa"/>
            <w:tcBorders>
              <w:top w:val="single" w:color="000000" w:sz="4" w:space="0"/>
              <w:left w:val="nil"/>
              <w:bottom w:val="single" w:color="000000" w:sz="4" w:space="0"/>
              <w:right w:val="single" w:color="000000" w:sz="4" w:space="0"/>
            </w:tcBorders>
            <w:shd w:val="clear" w:color="FFFFFF" w:fill="FFFFFF"/>
            <w:noWrap w:val="0"/>
            <w:vAlign w:val="center"/>
          </w:tcPr>
          <w:p w14:paraId="07D2FF5E">
            <w:pPr>
              <w:rPr>
                <w:rFonts w:hint="eastAsia"/>
                <w:sz w:val="18"/>
                <w:szCs w:val="18"/>
              </w:rPr>
            </w:pPr>
            <w:r>
              <w:rPr>
                <w:rFonts w:hint="eastAsia"/>
                <w:sz w:val="18"/>
                <w:szCs w:val="18"/>
              </w:rPr>
              <w:t>储灰仓拆除</w:t>
            </w:r>
            <w:r>
              <w:rPr>
                <w:rFonts w:hint="eastAsia"/>
                <w:sz w:val="18"/>
                <w:szCs w:val="18"/>
              </w:rPr>
              <w:br w:type="textWrapping"/>
            </w:r>
            <w:r>
              <w:rPr>
                <w:rFonts w:hint="eastAsia"/>
                <w:sz w:val="18"/>
                <w:szCs w:val="18"/>
              </w:rPr>
              <w:t>1.储灰仓拆除</w:t>
            </w:r>
            <w:r>
              <w:rPr>
                <w:rFonts w:hint="eastAsia"/>
                <w:sz w:val="18"/>
                <w:szCs w:val="18"/>
              </w:rPr>
              <w:br w:type="textWrapping"/>
            </w:r>
            <w:r>
              <w:rPr>
                <w:rFonts w:hint="eastAsia"/>
                <w:sz w:val="18"/>
                <w:szCs w:val="18"/>
              </w:rPr>
              <w:t>2.按甲方指定位置运输至安装位置</w:t>
            </w:r>
            <w:r>
              <w:rPr>
                <w:rFonts w:hint="eastAsia"/>
                <w:sz w:val="18"/>
                <w:szCs w:val="18"/>
              </w:rPr>
              <w:br w:type="textWrapping"/>
            </w:r>
            <w:r>
              <w:rPr>
                <w:rFonts w:hint="eastAsia"/>
                <w:sz w:val="18"/>
                <w:szCs w:val="18"/>
              </w:rPr>
              <w:t>3.四根柱用混凝土灌实</w:t>
            </w:r>
            <w:r>
              <w:rPr>
                <w:rFonts w:hint="eastAsia"/>
                <w:sz w:val="18"/>
                <w:szCs w:val="18"/>
              </w:rPr>
              <w:br w:type="textWrapping"/>
            </w:r>
            <w:r>
              <w:rPr>
                <w:rFonts w:hint="eastAsia"/>
                <w:sz w:val="18"/>
                <w:szCs w:val="18"/>
              </w:rPr>
              <w:t>4.措施费综合考虑</w:t>
            </w:r>
          </w:p>
        </w:tc>
        <w:tc>
          <w:tcPr>
            <w:tcW w:w="580" w:type="dxa"/>
            <w:tcBorders>
              <w:top w:val="nil"/>
              <w:left w:val="nil"/>
              <w:bottom w:val="single" w:color="000000" w:sz="4" w:space="0"/>
              <w:right w:val="single" w:color="000000" w:sz="4" w:space="0"/>
            </w:tcBorders>
            <w:shd w:val="clear" w:color="FFFFFF" w:fill="FFFFFF"/>
            <w:noWrap w:val="0"/>
            <w:vAlign w:val="center"/>
          </w:tcPr>
          <w:p w14:paraId="5B6C2D0C">
            <w:pPr>
              <w:jc w:val="center"/>
              <w:rPr>
                <w:rFonts w:hint="eastAsia"/>
                <w:sz w:val="18"/>
                <w:szCs w:val="18"/>
              </w:rPr>
            </w:pPr>
            <w:r>
              <w:rPr>
                <w:rFonts w:hint="eastAsia"/>
                <w:sz w:val="18"/>
                <w:szCs w:val="18"/>
              </w:rPr>
              <w:t>t</w:t>
            </w:r>
          </w:p>
        </w:tc>
        <w:tc>
          <w:tcPr>
            <w:tcW w:w="960" w:type="dxa"/>
            <w:tcBorders>
              <w:top w:val="single" w:color="000000" w:sz="4" w:space="0"/>
              <w:left w:val="nil"/>
              <w:bottom w:val="single" w:color="000000" w:sz="4" w:space="0"/>
              <w:right w:val="single" w:color="000000" w:sz="4" w:space="0"/>
            </w:tcBorders>
            <w:shd w:val="clear" w:color="FFFFFF" w:fill="FFFFFF"/>
            <w:noWrap w:val="0"/>
            <w:vAlign w:val="center"/>
          </w:tcPr>
          <w:p w14:paraId="0B1B0F96">
            <w:pPr>
              <w:jc w:val="right"/>
              <w:rPr>
                <w:rFonts w:hint="eastAsia"/>
                <w:sz w:val="18"/>
                <w:szCs w:val="18"/>
              </w:rPr>
            </w:pPr>
            <w:r>
              <w:rPr>
                <w:rFonts w:hint="eastAsia"/>
                <w:sz w:val="18"/>
                <w:szCs w:val="18"/>
              </w:rPr>
              <w:t>35</w:t>
            </w:r>
          </w:p>
        </w:tc>
        <w:tc>
          <w:tcPr>
            <w:tcW w:w="36" w:type="dxa"/>
            <w:noWrap w:val="0"/>
            <w:vAlign w:val="center"/>
          </w:tcPr>
          <w:p w14:paraId="7980F134">
            <w:pPr>
              <w:rPr>
                <w:rFonts w:ascii="Times New Roman" w:hAnsi="Times New Roman" w:eastAsia="Times New Roman" w:cs="Times New Roman"/>
                <w:sz w:val="20"/>
                <w:szCs w:val="20"/>
              </w:rPr>
            </w:pPr>
          </w:p>
        </w:tc>
      </w:tr>
      <w:tr w14:paraId="3D103DE6">
        <w:tblPrEx>
          <w:tblCellMar>
            <w:top w:w="0" w:type="dxa"/>
            <w:left w:w="108" w:type="dxa"/>
            <w:bottom w:w="0" w:type="dxa"/>
            <w:right w:w="108" w:type="dxa"/>
          </w:tblCellMar>
        </w:tblPrEx>
        <w:trPr>
          <w:trHeight w:val="960" w:hRule="atLeast"/>
        </w:trPr>
        <w:tc>
          <w:tcPr>
            <w:tcW w:w="760" w:type="dxa"/>
            <w:tcBorders>
              <w:top w:val="nil"/>
              <w:left w:val="single" w:color="000000" w:sz="8" w:space="0"/>
              <w:bottom w:val="single" w:color="000000" w:sz="4" w:space="0"/>
              <w:right w:val="single" w:color="000000" w:sz="4" w:space="0"/>
            </w:tcBorders>
            <w:shd w:val="clear" w:color="FFFFFF" w:fill="FFFFFF"/>
            <w:noWrap w:val="0"/>
            <w:vAlign w:val="center"/>
          </w:tcPr>
          <w:p w14:paraId="2200F4D1">
            <w:pPr>
              <w:jc w:val="center"/>
              <w:rPr>
                <w:rFonts w:hint="eastAsia"/>
                <w:sz w:val="18"/>
                <w:szCs w:val="18"/>
              </w:rPr>
            </w:pPr>
            <w:r>
              <w:rPr>
                <w:rFonts w:hint="eastAsia"/>
                <w:sz w:val="18"/>
                <w:szCs w:val="18"/>
              </w:rPr>
              <w:t>4</w:t>
            </w:r>
          </w:p>
        </w:tc>
        <w:tc>
          <w:tcPr>
            <w:tcW w:w="1460" w:type="dxa"/>
            <w:tcBorders>
              <w:top w:val="nil"/>
              <w:left w:val="nil"/>
              <w:bottom w:val="single" w:color="000000" w:sz="4" w:space="0"/>
              <w:right w:val="single" w:color="000000" w:sz="4" w:space="0"/>
            </w:tcBorders>
            <w:shd w:val="clear" w:color="FFFFFF" w:fill="FFFFFF"/>
            <w:noWrap w:val="0"/>
            <w:vAlign w:val="center"/>
          </w:tcPr>
          <w:p w14:paraId="325F1AFA">
            <w:pPr>
              <w:rPr>
                <w:rFonts w:hint="eastAsia"/>
                <w:sz w:val="18"/>
                <w:szCs w:val="18"/>
              </w:rPr>
            </w:pPr>
            <w:r>
              <w:rPr>
                <w:rFonts w:hint="eastAsia"/>
                <w:sz w:val="18"/>
                <w:szCs w:val="18"/>
              </w:rPr>
              <w:t>011611005001</w:t>
            </w:r>
          </w:p>
        </w:tc>
        <w:tc>
          <w:tcPr>
            <w:tcW w:w="3560" w:type="dxa"/>
            <w:tcBorders>
              <w:top w:val="single" w:color="000000" w:sz="4" w:space="0"/>
              <w:left w:val="nil"/>
              <w:bottom w:val="single" w:color="000000" w:sz="4" w:space="0"/>
              <w:right w:val="single" w:color="000000" w:sz="4" w:space="0"/>
            </w:tcBorders>
            <w:shd w:val="clear" w:color="FFFFFF" w:fill="FFFFFF"/>
            <w:noWrap w:val="0"/>
            <w:vAlign w:val="center"/>
          </w:tcPr>
          <w:p w14:paraId="3F2ED9EB">
            <w:pPr>
              <w:rPr>
                <w:rFonts w:hint="eastAsia"/>
                <w:sz w:val="18"/>
                <w:szCs w:val="18"/>
              </w:rPr>
            </w:pPr>
            <w:r>
              <w:rPr>
                <w:rFonts w:hint="eastAsia"/>
                <w:sz w:val="18"/>
                <w:szCs w:val="18"/>
              </w:rPr>
              <w:t>振动筛拆除及附件拆除</w:t>
            </w:r>
            <w:r>
              <w:rPr>
                <w:rFonts w:hint="eastAsia"/>
                <w:sz w:val="18"/>
                <w:szCs w:val="18"/>
              </w:rPr>
              <w:br w:type="textWrapping"/>
            </w:r>
            <w:r>
              <w:rPr>
                <w:rFonts w:hint="eastAsia"/>
                <w:sz w:val="18"/>
                <w:szCs w:val="18"/>
              </w:rPr>
              <w:t>1.振动筛拆除</w:t>
            </w:r>
            <w:r>
              <w:rPr>
                <w:rFonts w:hint="eastAsia"/>
                <w:sz w:val="18"/>
                <w:szCs w:val="18"/>
              </w:rPr>
              <w:br w:type="textWrapping"/>
            </w:r>
            <w:r>
              <w:rPr>
                <w:rFonts w:hint="eastAsia"/>
                <w:sz w:val="18"/>
                <w:szCs w:val="18"/>
              </w:rPr>
              <w:t>2.按甲方要求位置堆放</w:t>
            </w:r>
            <w:r>
              <w:rPr>
                <w:rFonts w:hint="eastAsia"/>
                <w:sz w:val="18"/>
                <w:szCs w:val="18"/>
              </w:rPr>
              <w:br w:type="textWrapping"/>
            </w:r>
            <w:r>
              <w:rPr>
                <w:rFonts w:hint="eastAsia"/>
                <w:sz w:val="18"/>
                <w:szCs w:val="18"/>
              </w:rPr>
              <w:t>3.措施费综合考虑</w:t>
            </w:r>
          </w:p>
        </w:tc>
        <w:tc>
          <w:tcPr>
            <w:tcW w:w="580" w:type="dxa"/>
            <w:tcBorders>
              <w:top w:val="nil"/>
              <w:left w:val="nil"/>
              <w:bottom w:val="single" w:color="000000" w:sz="4" w:space="0"/>
              <w:right w:val="single" w:color="000000" w:sz="4" w:space="0"/>
            </w:tcBorders>
            <w:shd w:val="clear" w:color="FFFFFF" w:fill="FFFFFF"/>
            <w:noWrap w:val="0"/>
            <w:vAlign w:val="center"/>
          </w:tcPr>
          <w:p w14:paraId="1E848515">
            <w:pPr>
              <w:jc w:val="center"/>
              <w:rPr>
                <w:rFonts w:hint="eastAsia"/>
                <w:sz w:val="18"/>
                <w:szCs w:val="18"/>
              </w:rPr>
            </w:pPr>
            <w:r>
              <w:rPr>
                <w:rFonts w:hint="eastAsia"/>
                <w:sz w:val="18"/>
                <w:szCs w:val="18"/>
              </w:rPr>
              <w:t>t</w:t>
            </w:r>
          </w:p>
        </w:tc>
        <w:tc>
          <w:tcPr>
            <w:tcW w:w="960" w:type="dxa"/>
            <w:tcBorders>
              <w:top w:val="single" w:color="000000" w:sz="4" w:space="0"/>
              <w:left w:val="nil"/>
              <w:bottom w:val="single" w:color="000000" w:sz="4" w:space="0"/>
              <w:right w:val="single" w:color="000000" w:sz="4" w:space="0"/>
            </w:tcBorders>
            <w:shd w:val="clear" w:color="FFFFFF" w:fill="FFFFFF"/>
            <w:noWrap w:val="0"/>
            <w:vAlign w:val="center"/>
          </w:tcPr>
          <w:p w14:paraId="7E18CDBA">
            <w:pPr>
              <w:jc w:val="right"/>
              <w:rPr>
                <w:rFonts w:hint="eastAsia"/>
                <w:sz w:val="18"/>
                <w:szCs w:val="18"/>
              </w:rPr>
            </w:pPr>
            <w:r>
              <w:rPr>
                <w:rFonts w:hint="eastAsia"/>
                <w:sz w:val="18"/>
                <w:szCs w:val="18"/>
              </w:rPr>
              <w:t>6</w:t>
            </w:r>
          </w:p>
        </w:tc>
        <w:tc>
          <w:tcPr>
            <w:tcW w:w="36" w:type="dxa"/>
            <w:noWrap w:val="0"/>
            <w:vAlign w:val="center"/>
          </w:tcPr>
          <w:p w14:paraId="1150B40E">
            <w:pPr>
              <w:rPr>
                <w:rFonts w:ascii="Times New Roman" w:hAnsi="Times New Roman" w:eastAsia="Times New Roman" w:cs="Times New Roman"/>
                <w:sz w:val="20"/>
                <w:szCs w:val="20"/>
              </w:rPr>
            </w:pPr>
          </w:p>
        </w:tc>
      </w:tr>
      <w:tr w14:paraId="58E1934B">
        <w:tblPrEx>
          <w:tblCellMar>
            <w:top w:w="0" w:type="dxa"/>
            <w:left w:w="108" w:type="dxa"/>
            <w:bottom w:w="0" w:type="dxa"/>
            <w:right w:w="108" w:type="dxa"/>
          </w:tblCellMar>
        </w:tblPrEx>
        <w:trPr>
          <w:trHeight w:val="1185" w:hRule="atLeast"/>
        </w:trPr>
        <w:tc>
          <w:tcPr>
            <w:tcW w:w="760" w:type="dxa"/>
            <w:tcBorders>
              <w:top w:val="nil"/>
              <w:left w:val="single" w:color="000000" w:sz="8" w:space="0"/>
              <w:bottom w:val="single" w:color="000000" w:sz="4" w:space="0"/>
              <w:right w:val="single" w:color="000000" w:sz="4" w:space="0"/>
            </w:tcBorders>
            <w:shd w:val="clear" w:color="FFFFFF" w:fill="FFFFFF"/>
            <w:noWrap w:val="0"/>
            <w:vAlign w:val="center"/>
          </w:tcPr>
          <w:p w14:paraId="528D4ACF">
            <w:pPr>
              <w:jc w:val="center"/>
              <w:rPr>
                <w:rFonts w:hint="eastAsia"/>
                <w:sz w:val="18"/>
                <w:szCs w:val="18"/>
              </w:rPr>
            </w:pPr>
            <w:r>
              <w:rPr>
                <w:rFonts w:hint="eastAsia"/>
                <w:sz w:val="18"/>
                <w:szCs w:val="18"/>
              </w:rPr>
              <w:t>5</w:t>
            </w:r>
          </w:p>
        </w:tc>
        <w:tc>
          <w:tcPr>
            <w:tcW w:w="1460" w:type="dxa"/>
            <w:tcBorders>
              <w:top w:val="nil"/>
              <w:left w:val="nil"/>
              <w:bottom w:val="single" w:color="000000" w:sz="4" w:space="0"/>
              <w:right w:val="single" w:color="000000" w:sz="4" w:space="0"/>
            </w:tcBorders>
            <w:shd w:val="clear" w:color="FFFFFF" w:fill="FFFFFF"/>
            <w:noWrap w:val="0"/>
            <w:vAlign w:val="center"/>
          </w:tcPr>
          <w:p w14:paraId="7EE81C78">
            <w:pPr>
              <w:rPr>
                <w:rFonts w:hint="eastAsia"/>
                <w:sz w:val="18"/>
                <w:szCs w:val="18"/>
              </w:rPr>
            </w:pPr>
            <w:r>
              <w:rPr>
                <w:rFonts w:hint="eastAsia"/>
                <w:sz w:val="18"/>
                <w:szCs w:val="18"/>
              </w:rPr>
              <w:t>011611005002</w:t>
            </w:r>
          </w:p>
        </w:tc>
        <w:tc>
          <w:tcPr>
            <w:tcW w:w="3560" w:type="dxa"/>
            <w:tcBorders>
              <w:top w:val="single" w:color="000000" w:sz="4" w:space="0"/>
              <w:left w:val="nil"/>
              <w:bottom w:val="single" w:color="000000" w:sz="4" w:space="0"/>
              <w:right w:val="single" w:color="000000" w:sz="4" w:space="0"/>
            </w:tcBorders>
            <w:shd w:val="clear" w:color="FFFFFF" w:fill="FFFFFF"/>
            <w:noWrap w:val="0"/>
            <w:vAlign w:val="center"/>
          </w:tcPr>
          <w:p w14:paraId="164B620E">
            <w:pPr>
              <w:rPr>
                <w:rFonts w:hint="eastAsia"/>
                <w:sz w:val="18"/>
                <w:szCs w:val="18"/>
              </w:rPr>
            </w:pPr>
            <w:r>
              <w:rPr>
                <w:rFonts w:hint="eastAsia"/>
                <w:sz w:val="18"/>
                <w:szCs w:val="18"/>
              </w:rPr>
              <w:t>提升机拆除</w:t>
            </w:r>
            <w:r>
              <w:rPr>
                <w:rFonts w:hint="eastAsia"/>
                <w:sz w:val="18"/>
                <w:szCs w:val="18"/>
              </w:rPr>
              <w:br w:type="textWrapping"/>
            </w:r>
            <w:r>
              <w:rPr>
                <w:rFonts w:hint="eastAsia"/>
                <w:sz w:val="18"/>
                <w:szCs w:val="18"/>
              </w:rPr>
              <w:t>1.提升机拆除，高度18米</w:t>
            </w:r>
            <w:r>
              <w:rPr>
                <w:rFonts w:hint="eastAsia"/>
                <w:sz w:val="18"/>
                <w:szCs w:val="18"/>
              </w:rPr>
              <w:br w:type="textWrapping"/>
            </w:r>
            <w:r>
              <w:rPr>
                <w:rFonts w:hint="eastAsia"/>
                <w:sz w:val="18"/>
                <w:szCs w:val="18"/>
              </w:rPr>
              <w:t>2.包含周围附件管道等</w:t>
            </w:r>
            <w:r>
              <w:rPr>
                <w:rFonts w:hint="eastAsia"/>
                <w:sz w:val="18"/>
                <w:szCs w:val="18"/>
              </w:rPr>
              <w:br w:type="textWrapping"/>
            </w:r>
            <w:r>
              <w:rPr>
                <w:rFonts w:hint="eastAsia"/>
                <w:sz w:val="18"/>
                <w:szCs w:val="18"/>
              </w:rPr>
              <w:t>3.按甲方要求位置堆放</w:t>
            </w:r>
            <w:r>
              <w:rPr>
                <w:rFonts w:hint="eastAsia"/>
                <w:sz w:val="18"/>
                <w:szCs w:val="18"/>
              </w:rPr>
              <w:br w:type="textWrapping"/>
            </w:r>
            <w:r>
              <w:rPr>
                <w:rFonts w:hint="eastAsia"/>
                <w:sz w:val="18"/>
                <w:szCs w:val="18"/>
              </w:rPr>
              <w:t>4..措施费综合考虑</w:t>
            </w:r>
          </w:p>
        </w:tc>
        <w:tc>
          <w:tcPr>
            <w:tcW w:w="580" w:type="dxa"/>
            <w:tcBorders>
              <w:top w:val="nil"/>
              <w:left w:val="nil"/>
              <w:bottom w:val="single" w:color="000000" w:sz="4" w:space="0"/>
              <w:right w:val="single" w:color="000000" w:sz="4" w:space="0"/>
            </w:tcBorders>
            <w:shd w:val="clear" w:color="FFFFFF" w:fill="FFFFFF"/>
            <w:noWrap w:val="0"/>
            <w:vAlign w:val="center"/>
          </w:tcPr>
          <w:p w14:paraId="3538E240">
            <w:pPr>
              <w:jc w:val="center"/>
              <w:rPr>
                <w:rFonts w:hint="eastAsia"/>
                <w:sz w:val="18"/>
                <w:szCs w:val="18"/>
              </w:rPr>
            </w:pPr>
            <w:r>
              <w:rPr>
                <w:rFonts w:hint="eastAsia"/>
                <w:sz w:val="18"/>
                <w:szCs w:val="18"/>
              </w:rPr>
              <w:t>台</w:t>
            </w:r>
          </w:p>
        </w:tc>
        <w:tc>
          <w:tcPr>
            <w:tcW w:w="960" w:type="dxa"/>
            <w:tcBorders>
              <w:top w:val="single" w:color="000000" w:sz="4" w:space="0"/>
              <w:left w:val="nil"/>
              <w:bottom w:val="single" w:color="000000" w:sz="4" w:space="0"/>
              <w:right w:val="single" w:color="000000" w:sz="4" w:space="0"/>
            </w:tcBorders>
            <w:shd w:val="clear" w:color="FFFFFF" w:fill="FFFFFF"/>
            <w:noWrap w:val="0"/>
            <w:vAlign w:val="center"/>
          </w:tcPr>
          <w:p w14:paraId="50994DFF">
            <w:pPr>
              <w:jc w:val="right"/>
              <w:rPr>
                <w:rFonts w:hint="eastAsia"/>
                <w:sz w:val="18"/>
                <w:szCs w:val="18"/>
              </w:rPr>
            </w:pPr>
            <w:r>
              <w:rPr>
                <w:rFonts w:hint="eastAsia"/>
                <w:sz w:val="18"/>
                <w:szCs w:val="18"/>
              </w:rPr>
              <w:t>1</w:t>
            </w:r>
          </w:p>
        </w:tc>
        <w:tc>
          <w:tcPr>
            <w:tcW w:w="36" w:type="dxa"/>
            <w:noWrap w:val="0"/>
            <w:vAlign w:val="center"/>
          </w:tcPr>
          <w:p w14:paraId="4A2CAC59">
            <w:pPr>
              <w:rPr>
                <w:rFonts w:ascii="Times New Roman" w:hAnsi="Times New Roman" w:eastAsia="Times New Roman" w:cs="Times New Roman"/>
                <w:sz w:val="20"/>
                <w:szCs w:val="20"/>
              </w:rPr>
            </w:pPr>
          </w:p>
        </w:tc>
      </w:tr>
      <w:tr w14:paraId="78AEF79C">
        <w:tblPrEx>
          <w:tblCellMar>
            <w:top w:w="0" w:type="dxa"/>
            <w:left w:w="108" w:type="dxa"/>
            <w:bottom w:w="0" w:type="dxa"/>
            <w:right w:w="108" w:type="dxa"/>
          </w:tblCellMar>
        </w:tblPrEx>
        <w:trPr>
          <w:trHeight w:val="735" w:hRule="atLeast"/>
        </w:trPr>
        <w:tc>
          <w:tcPr>
            <w:tcW w:w="760" w:type="dxa"/>
            <w:tcBorders>
              <w:top w:val="nil"/>
              <w:left w:val="single" w:color="000000" w:sz="8" w:space="0"/>
              <w:bottom w:val="single" w:color="000000" w:sz="4" w:space="0"/>
              <w:right w:val="single" w:color="000000" w:sz="4" w:space="0"/>
            </w:tcBorders>
            <w:shd w:val="clear" w:color="FFFFFF" w:fill="FFFFFF"/>
            <w:noWrap w:val="0"/>
            <w:vAlign w:val="center"/>
          </w:tcPr>
          <w:p w14:paraId="157BC3E5">
            <w:pPr>
              <w:jc w:val="center"/>
              <w:rPr>
                <w:rFonts w:hint="eastAsia"/>
                <w:sz w:val="18"/>
                <w:szCs w:val="18"/>
              </w:rPr>
            </w:pPr>
            <w:r>
              <w:rPr>
                <w:rFonts w:hint="eastAsia"/>
                <w:sz w:val="18"/>
                <w:szCs w:val="18"/>
              </w:rPr>
              <w:t>6</w:t>
            </w:r>
          </w:p>
        </w:tc>
        <w:tc>
          <w:tcPr>
            <w:tcW w:w="1460" w:type="dxa"/>
            <w:tcBorders>
              <w:top w:val="nil"/>
              <w:left w:val="nil"/>
              <w:bottom w:val="single" w:color="000000" w:sz="4" w:space="0"/>
              <w:right w:val="single" w:color="000000" w:sz="4" w:space="0"/>
            </w:tcBorders>
            <w:shd w:val="clear" w:color="FFFFFF" w:fill="FFFFFF"/>
            <w:noWrap w:val="0"/>
            <w:vAlign w:val="center"/>
          </w:tcPr>
          <w:p w14:paraId="3977F9B5">
            <w:pPr>
              <w:rPr>
                <w:rFonts w:hint="eastAsia"/>
                <w:sz w:val="18"/>
                <w:szCs w:val="18"/>
              </w:rPr>
            </w:pPr>
            <w:r>
              <w:rPr>
                <w:rFonts w:hint="eastAsia"/>
                <w:sz w:val="18"/>
                <w:szCs w:val="18"/>
              </w:rPr>
              <w:t>030215001001</w:t>
            </w:r>
          </w:p>
        </w:tc>
        <w:tc>
          <w:tcPr>
            <w:tcW w:w="3560" w:type="dxa"/>
            <w:tcBorders>
              <w:top w:val="single" w:color="000000" w:sz="4" w:space="0"/>
              <w:left w:val="nil"/>
              <w:bottom w:val="single" w:color="000000" w:sz="4" w:space="0"/>
              <w:right w:val="single" w:color="000000" w:sz="4" w:space="0"/>
            </w:tcBorders>
            <w:shd w:val="clear" w:color="FFFFFF" w:fill="FFFFFF"/>
            <w:noWrap w:val="0"/>
            <w:vAlign w:val="center"/>
          </w:tcPr>
          <w:p w14:paraId="12C24ED5">
            <w:pPr>
              <w:rPr>
                <w:rFonts w:hint="eastAsia"/>
                <w:sz w:val="18"/>
                <w:szCs w:val="18"/>
              </w:rPr>
            </w:pPr>
            <w:r>
              <w:rPr>
                <w:rFonts w:hint="eastAsia"/>
                <w:sz w:val="18"/>
                <w:szCs w:val="18"/>
              </w:rPr>
              <w:t>皮带机及附件拆除</w:t>
            </w:r>
            <w:r>
              <w:rPr>
                <w:rFonts w:hint="eastAsia"/>
                <w:sz w:val="18"/>
                <w:szCs w:val="18"/>
              </w:rPr>
              <w:br w:type="textWrapping"/>
            </w:r>
            <w:r>
              <w:rPr>
                <w:rFonts w:hint="eastAsia"/>
                <w:sz w:val="18"/>
                <w:szCs w:val="18"/>
              </w:rPr>
              <w:t>1.B500皮带机拆除，长度14米</w:t>
            </w:r>
            <w:r>
              <w:rPr>
                <w:rFonts w:hint="eastAsia"/>
                <w:sz w:val="18"/>
                <w:szCs w:val="18"/>
              </w:rPr>
              <w:br w:type="textWrapping"/>
            </w:r>
            <w:r>
              <w:rPr>
                <w:rFonts w:hint="eastAsia"/>
                <w:sz w:val="18"/>
                <w:szCs w:val="18"/>
              </w:rPr>
              <w:t>2.按甲方要求位置堆放</w:t>
            </w:r>
          </w:p>
        </w:tc>
        <w:tc>
          <w:tcPr>
            <w:tcW w:w="580" w:type="dxa"/>
            <w:tcBorders>
              <w:top w:val="nil"/>
              <w:left w:val="nil"/>
              <w:bottom w:val="single" w:color="000000" w:sz="4" w:space="0"/>
              <w:right w:val="single" w:color="000000" w:sz="4" w:space="0"/>
            </w:tcBorders>
            <w:shd w:val="clear" w:color="FFFFFF" w:fill="FFFFFF"/>
            <w:noWrap w:val="0"/>
            <w:vAlign w:val="center"/>
          </w:tcPr>
          <w:p w14:paraId="3C95D396">
            <w:pPr>
              <w:jc w:val="center"/>
              <w:rPr>
                <w:rFonts w:hint="eastAsia"/>
                <w:sz w:val="18"/>
                <w:szCs w:val="18"/>
              </w:rPr>
            </w:pPr>
            <w:r>
              <w:rPr>
                <w:rFonts w:hint="eastAsia"/>
                <w:sz w:val="18"/>
                <w:szCs w:val="18"/>
              </w:rPr>
              <w:t>台</w:t>
            </w:r>
          </w:p>
        </w:tc>
        <w:tc>
          <w:tcPr>
            <w:tcW w:w="960" w:type="dxa"/>
            <w:tcBorders>
              <w:top w:val="single" w:color="000000" w:sz="4" w:space="0"/>
              <w:left w:val="nil"/>
              <w:bottom w:val="single" w:color="000000" w:sz="4" w:space="0"/>
              <w:right w:val="single" w:color="000000" w:sz="4" w:space="0"/>
            </w:tcBorders>
            <w:shd w:val="clear" w:color="FFFFFF" w:fill="FFFFFF"/>
            <w:noWrap w:val="0"/>
            <w:vAlign w:val="center"/>
          </w:tcPr>
          <w:p w14:paraId="5C321221">
            <w:pPr>
              <w:jc w:val="right"/>
              <w:rPr>
                <w:rFonts w:hint="eastAsia"/>
                <w:sz w:val="18"/>
                <w:szCs w:val="18"/>
              </w:rPr>
            </w:pPr>
            <w:r>
              <w:rPr>
                <w:rFonts w:hint="eastAsia"/>
                <w:sz w:val="18"/>
                <w:szCs w:val="18"/>
              </w:rPr>
              <w:t>1</w:t>
            </w:r>
          </w:p>
        </w:tc>
        <w:tc>
          <w:tcPr>
            <w:tcW w:w="36" w:type="dxa"/>
            <w:noWrap w:val="0"/>
            <w:vAlign w:val="center"/>
          </w:tcPr>
          <w:p w14:paraId="7E9CD5F6">
            <w:pPr>
              <w:rPr>
                <w:rFonts w:ascii="Times New Roman" w:hAnsi="Times New Roman" w:eastAsia="Times New Roman" w:cs="Times New Roman"/>
                <w:sz w:val="20"/>
                <w:szCs w:val="20"/>
              </w:rPr>
            </w:pPr>
          </w:p>
        </w:tc>
      </w:tr>
      <w:tr w14:paraId="283EAD4A">
        <w:tblPrEx>
          <w:tblCellMar>
            <w:top w:w="0" w:type="dxa"/>
            <w:left w:w="108" w:type="dxa"/>
            <w:bottom w:w="0" w:type="dxa"/>
            <w:right w:w="108" w:type="dxa"/>
          </w:tblCellMar>
        </w:tblPrEx>
        <w:trPr>
          <w:trHeight w:val="1185" w:hRule="atLeast"/>
        </w:trPr>
        <w:tc>
          <w:tcPr>
            <w:tcW w:w="760" w:type="dxa"/>
            <w:tcBorders>
              <w:top w:val="nil"/>
              <w:left w:val="single" w:color="000000" w:sz="8" w:space="0"/>
              <w:bottom w:val="single" w:color="000000" w:sz="4" w:space="0"/>
              <w:right w:val="single" w:color="000000" w:sz="4" w:space="0"/>
            </w:tcBorders>
            <w:shd w:val="clear" w:color="FFFFFF" w:fill="FFFFFF"/>
            <w:noWrap w:val="0"/>
            <w:vAlign w:val="center"/>
          </w:tcPr>
          <w:p w14:paraId="35B11609">
            <w:pPr>
              <w:jc w:val="center"/>
              <w:rPr>
                <w:rFonts w:hint="eastAsia"/>
                <w:sz w:val="18"/>
                <w:szCs w:val="18"/>
              </w:rPr>
            </w:pPr>
            <w:r>
              <w:rPr>
                <w:rFonts w:hint="eastAsia"/>
                <w:sz w:val="18"/>
                <w:szCs w:val="18"/>
              </w:rPr>
              <w:t>7</w:t>
            </w:r>
          </w:p>
        </w:tc>
        <w:tc>
          <w:tcPr>
            <w:tcW w:w="1460" w:type="dxa"/>
            <w:tcBorders>
              <w:top w:val="nil"/>
              <w:left w:val="nil"/>
              <w:bottom w:val="single" w:color="000000" w:sz="4" w:space="0"/>
              <w:right w:val="single" w:color="000000" w:sz="4" w:space="0"/>
            </w:tcBorders>
            <w:shd w:val="clear" w:color="FFFFFF" w:fill="FFFFFF"/>
            <w:noWrap w:val="0"/>
            <w:vAlign w:val="center"/>
          </w:tcPr>
          <w:p w14:paraId="28684CFB">
            <w:pPr>
              <w:rPr>
                <w:rFonts w:hint="eastAsia"/>
                <w:sz w:val="18"/>
                <w:szCs w:val="18"/>
              </w:rPr>
            </w:pPr>
            <w:r>
              <w:rPr>
                <w:rFonts w:hint="eastAsia"/>
                <w:sz w:val="18"/>
                <w:szCs w:val="18"/>
              </w:rPr>
              <w:t>030223001001</w:t>
            </w:r>
          </w:p>
        </w:tc>
        <w:tc>
          <w:tcPr>
            <w:tcW w:w="3560" w:type="dxa"/>
            <w:tcBorders>
              <w:top w:val="single" w:color="000000" w:sz="4" w:space="0"/>
              <w:left w:val="nil"/>
              <w:bottom w:val="single" w:color="000000" w:sz="4" w:space="0"/>
              <w:right w:val="single" w:color="000000" w:sz="4" w:space="0"/>
            </w:tcBorders>
            <w:shd w:val="clear" w:color="FFFFFF" w:fill="FFFFFF"/>
            <w:noWrap w:val="0"/>
            <w:vAlign w:val="center"/>
          </w:tcPr>
          <w:p w14:paraId="5192F694">
            <w:pPr>
              <w:rPr>
                <w:rFonts w:hint="eastAsia"/>
                <w:sz w:val="18"/>
                <w:szCs w:val="18"/>
              </w:rPr>
            </w:pPr>
            <w:r>
              <w:rPr>
                <w:rFonts w:hint="eastAsia"/>
                <w:sz w:val="18"/>
                <w:szCs w:val="18"/>
              </w:rPr>
              <w:t>储灰仓安装</w:t>
            </w:r>
            <w:r>
              <w:rPr>
                <w:rFonts w:hint="eastAsia"/>
                <w:sz w:val="18"/>
                <w:szCs w:val="18"/>
              </w:rPr>
              <w:br w:type="textWrapping"/>
            </w:r>
            <w:r>
              <w:rPr>
                <w:rFonts w:hint="eastAsia"/>
                <w:sz w:val="18"/>
                <w:szCs w:val="18"/>
              </w:rPr>
              <w:t>1.储灰仓成套加高安装</w:t>
            </w:r>
            <w:r>
              <w:rPr>
                <w:rFonts w:hint="eastAsia"/>
                <w:sz w:val="18"/>
                <w:szCs w:val="18"/>
              </w:rPr>
              <w:br w:type="textWrapping"/>
            </w:r>
            <w:r>
              <w:rPr>
                <w:rFonts w:hint="eastAsia"/>
                <w:sz w:val="18"/>
                <w:szCs w:val="18"/>
              </w:rPr>
              <w:t>2.仓体除锈刷防锈漆两遍，调和漆两遍，颜色甲方定</w:t>
            </w:r>
            <w:r>
              <w:rPr>
                <w:rFonts w:hint="eastAsia"/>
                <w:sz w:val="18"/>
                <w:szCs w:val="18"/>
              </w:rPr>
              <w:br w:type="textWrapping"/>
            </w:r>
            <w:r>
              <w:rPr>
                <w:rFonts w:hint="eastAsia"/>
                <w:sz w:val="18"/>
                <w:szCs w:val="18"/>
              </w:rPr>
              <w:t>3.措施费综合考虑</w:t>
            </w:r>
          </w:p>
        </w:tc>
        <w:tc>
          <w:tcPr>
            <w:tcW w:w="580" w:type="dxa"/>
            <w:tcBorders>
              <w:top w:val="nil"/>
              <w:left w:val="nil"/>
              <w:bottom w:val="single" w:color="000000" w:sz="4" w:space="0"/>
              <w:right w:val="single" w:color="000000" w:sz="4" w:space="0"/>
            </w:tcBorders>
            <w:shd w:val="clear" w:color="FFFFFF" w:fill="FFFFFF"/>
            <w:noWrap w:val="0"/>
            <w:vAlign w:val="center"/>
          </w:tcPr>
          <w:p w14:paraId="1511ADFA">
            <w:pPr>
              <w:jc w:val="center"/>
              <w:rPr>
                <w:rFonts w:hint="eastAsia"/>
                <w:sz w:val="18"/>
                <w:szCs w:val="18"/>
              </w:rPr>
            </w:pPr>
            <w:r>
              <w:rPr>
                <w:rFonts w:hint="eastAsia"/>
                <w:sz w:val="18"/>
                <w:szCs w:val="18"/>
              </w:rPr>
              <w:t>t</w:t>
            </w:r>
          </w:p>
        </w:tc>
        <w:tc>
          <w:tcPr>
            <w:tcW w:w="960" w:type="dxa"/>
            <w:tcBorders>
              <w:top w:val="single" w:color="000000" w:sz="4" w:space="0"/>
              <w:left w:val="nil"/>
              <w:bottom w:val="single" w:color="000000" w:sz="4" w:space="0"/>
              <w:right w:val="single" w:color="000000" w:sz="4" w:space="0"/>
            </w:tcBorders>
            <w:shd w:val="clear" w:color="FFFFFF" w:fill="FFFFFF"/>
            <w:noWrap w:val="0"/>
            <w:vAlign w:val="center"/>
          </w:tcPr>
          <w:p w14:paraId="1867ABFE">
            <w:pPr>
              <w:jc w:val="right"/>
              <w:rPr>
                <w:rFonts w:hint="eastAsia"/>
                <w:sz w:val="18"/>
                <w:szCs w:val="18"/>
              </w:rPr>
            </w:pPr>
            <w:r>
              <w:rPr>
                <w:rFonts w:hint="eastAsia"/>
                <w:sz w:val="18"/>
                <w:szCs w:val="18"/>
              </w:rPr>
              <w:t>35</w:t>
            </w:r>
          </w:p>
        </w:tc>
        <w:tc>
          <w:tcPr>
            <w:tcW w:w="36" w:type="dxa"/>
            <w:noWrap w:val="0"/>
            <w:vAlign w:val="center"/>
          </w:tcPr>
          <w:p w14:paraId="4A2B9B2A">
            <w:pPr>
              <w:rPr>
                <w:rFonts w:ascii="Times New Roman" w:hAnsi="Times New Roman" w:eastAsia="Times New Roman" w:cs="Times New Roman"/>
                <w:sz w:val="20"/>
                <w:szCs w:val="20"/>
              </w:rPr>
            </w:pPr>
          </w:p>
        </w:tc>
      </w:tr>
      <w:tr w14:paraId="7301238D">
        <w:tblPrEx>
          <w:tblCellMar>
            <w:top w:w="0" w:type="dxa"/>
            <w:left w:w="108" w:type="dxa"/>
            <w:bottom w:w="0" w:type="dxa"/>
            <w:right w:w="108" w:type="dxa"/>
          </w:tblCellMar>
        </w:tblPrEx>
        <w:trPr>
          <w:trHeight w:val="315" w:hRule="atLeast"/>
        </w:trPr>
        <w:tc>
          <w:tcPr>
            <w:tcW w:w="760" w:type="dxa"/>
            <w:tcBorders>
              <w:top w:val="nil"/>
              <w:left w:val="single" w:color="000000" w:sz="8" w:space="0"/>
              <w:bottom w:val="single" w:color="000000" w:sz="4" w:space="0"/>
              <w:right w:val="single" w:color="000000" w:sz="4" w:space="0"/>
            </w:tcBorders>
            <w:shd w:val="clear" w:color="FFFFFF" w:fill="FFFFFF"/>
            <w:noWrap w:val="0"/>
            <w:vAlign w:val="center"/>
          </w:tcPr>
          <w:p w14:paraId="73FC3BA5">
            <w:pPr>
              <w:rPr>
                <w:rFonts w:hint="eastAsia"/>
                <w:sz w:val="18"/>
                <w:szCs w:val="18"/>
              </w:rPr>
            </w:pPr>
            <w:r>
              <w:rPr>
                <w:rFonts w:hint="eastAsia"/>
                <w:sz w:val="18"/>
                <w:szCs w:val="18"/>
              </w:rPr>
              <w:t>　</w:t>
            </w:r>
          </w:p>
        </w:tc>
        <w:tc>
          <w:tcPr>
            <w:tcW w:w="1460" w:type="dxa"/>
            <w:tcBorders>
              <w:top w:val="nil"/>
              <w:left w:val="nil"/>
              <w:bottom w:val="single" w:color="000000" w:sz="4" w:space="0"/>
              <w:right w:val="single" w:color="000000" w:sz="4" w:space="0"/>
            </w:tcBorders>
            <w:shd w:val="clear" w:color="FFFFFF" w:fill="FFFFFF"/>
            <w:noWrap w:val="0"/>
            <w:vAlign w:val="center"/>
          </w:tcPr>
          <w:p w14:paraId="2ED7C7B6">
            <w:pPr>
              <w:rPr>
                <w:rFonts w:hint="eastAsia"/>
                <w:sz w:val="18"/>
                <w:szCs w:val="18"/>
              </w:rPr>
            </w:pPr>
            <w:r>
              <w:rPr>
                <w:rFonts w:hint="eastAsia"/>
                <w:sz w:val="18"/>
                <w:szCs w:val="18"/>
              </w:rPr>
              <w:t>　</w:t>
            </w:r>
          </w:p>
        </w:tc>
        <w:tc>
          <w:tcPr>
            <w:tcW w:w="3560" w:type="dxa"/>
            <w:tcBorders>
              <w:top w:val="single" w:color="000000" w:sz="4" w:space="0"/>
              <w:left w:val="nil"/>
              <w:bottom w:val="single" w:color="000000" w:sz="4" w:space="0"/>
              <w:right w:val="single" w:color="000000" w:sz="4" w:space="0"/>
            </w:tcBorders>
            <w:shd w:val="clear" w:color="FFFFFF" w:fill="FFFFFF"/>
            <w:noWrap w:val="0"/>
            <w:vAlign w:val="center"/>
          </w:tcPr>
          <w:p w14:paraId="71F12C57">
            <w:pPr>
              <w:rPr>
                <w:rFonts w:hint="eastAsia"/>
                <w:sz w:val="18"/>
                <w:szCs w:val="18"/>
              </w:rPr>
            </w:pPr>
            <w:r>
              <w:rPr>
                <w:rFonts w:hint="eastAsia"/>
                <w:sz w:val="18"/>
                <w:szCs w:val="18"/>
              </w:rPr>
              <w:t>新增设备安装项目</w:t>
            </w:r>
          </w:p>
        </w:tc>
        <w:tc>
          <w:tcPr>
            <w:tcW w:w="580" w:type="dxa"/>
            <w:tcBorders>
              <w:top w:val="nil"/>
              <w:left w:val="nil"/>
              <w:bottom w:val="single" w:color="000000" w:sz="4" w:space="0"/>
              <w:right w:val="single" w:color="000000" w:sz="4" w:space="0"/>
            </w:tcBorders>
            <w:shd w:val="clear" w:color="FFFFFF" w:fill="FFFFFF"/>
            <w:noWrap w:val="0"/>
            <w:vAlign w:val="center"/>
          </w:tcPr>
          <w:p w14:paraId="2400DE58">
            <w:pPr>
              <w:rPr>
                <w:rFonts w:hint="eastAsia"/>
                <w:sz w:val="18"/>
                <w:szCs w:val="18"/>
              </w:rPr>
            </w:pPr>
            <w:r>
              <w:rPr>
                <w:rFonts w:hint="eastAsia"/>
                <w:sz w:val="18"/>
                <w:szCs w:val="18"/>
              </w:rPr>
              <w:t>　</w:t>
            </w:r>
          </w:p>
        </w:tc>
        <w:tc>
          <w:tcPr>
            <w:tcW w:w="960" w:type="dxa"/>
            <w:tcBorders>
              <w:top w:val="single" w:color="000000" w:sz="4" w:space="0"/>
              <w:left w:val="nil"/>
              <w:bottom w:val="single" w:color="000000" w:sz="4" w:space="0"/>
              <w:right w:val="single" w:color="000000" w:sz="4" w:space="0"/>
            </w:tcBorders>
            <w:shd w:val="clear" w:color="FFFFFF" w:fill="FFFFFF"/>
            <w:noWrap w:val="0"/>
            <w:vAlign w:val="center"/>
          </w:tcPr>
          <w:p w14:paraId="4FE21D23">
            <w:pPr>
              <w:rPr>
                <w:rFonts w:hint="eastAsia"/>
                <w:sz w:val="18"/>
                <w:szCs w:val="18"/>
              </w:rPr>
            </w:pPr>
            <w:r>
              <w:rPr>
                <w:rFonts w:hint="eastAsia"/>
                <w:sz w:val="18"/>
                <w:szCs w:val="18"/>
              </w:rPr>
              <w:t>　</w:t>
            </w:r>
          </w:p>
        </w:tc>
        <w:tc>
          <w:tcPr>
            <w:tcW w:w="36" w:type="dxa"/>
            <w:noWrap w:val="0"/>
            <w:vAlign w:val="center"/>
          </w:tcPr>
          <w:p w14:paraId="184059C1">
            <w:pPr>
              <w:rPr>
                <w:rFonts w:ascii="Times New Roman" w:hAnsi="Times New Roman" w:eastAsia="Times New Roman" w:cs="Times New Roman"/>
                <w:sz w:val="20"/>
                <w:szCs w:val="20"/>
              </w:rPr>
            </w:pPr>
          </w:p>
        </w:tc>
      </w:tr>
      <w:tr w14:paraId="7D0A9186">
        <w:tblPrEx>
          <w:tblCellMar>
            <w:top w:w="0" w:type="dxa"/>
            <w:left w:w="108" w:type="dxa"/>
            <w:bottom w:w="0" w:type="dxa"/>
            <w:right w:w="108" w:type="dxa"/>
          </w:tblCellMar>
        </w:tblPrEx>
        <w:trPr>
          <w:trHeight w:val="1185" w:hRule="atLeast"/>
        </w:trPr>
        <w:tc>
          <w:tcPr>
            <w:tcW w:w="760" w:type="dxa"/>
            <w:tcBorders>
              <w:top w:val="nil"/>
              <w:left w:val="single" w:color="000000" w:sz="8" w:space="0"/>
              <w:bottom w:val="single" w:color="000000" w:sz="4" w:space="0"/>
              <w:right w:val="single" w:color="000000" w:sz="4" w:space="0"/>
            </w:tcBorders>
            <w:shd w:val="clear" w:color="FFFFFF" w:fill="FFFFFF"/>
            <w:noWrap w:val="0"/>
            <w:vAlign w:val="center"/>
          </w:tcPr>
          <w:p w14:paraId="37E42A28">
            <w:pPr>
              <w:jc w:val="center"/>
              <w:rPr>
                <w:rFonts w:hint="eastAsia"/>
                <w:sz w:val="18"/>
                <w:szCs w:val="18"/>
              </w:rPr>
            </w:pPr>
            <w:r>
              <w:rPr>
                <w:rFonts w:hint="eastAsia"/>
                <w:sz w:val="18"/>
                <w:szCs w:val="18"/>
              </w:rPr>
              <w:t>8</w:t>
            </w:r>
          </w:p>
        </w:tc>
        <w:tc>
          <w:tcPr>
            <w:tcW w:w="1460" w:type="dxa"/>
            <w:tcBorders>
              <w:top w:val="nil"/>
              <w:left w:val="nil"/>
              <w:bottom w:val="single" w:color="000000" w:sz="4" w:space="0"/>
              <w:right w:val="single" w:color="000000" w:sz="4" w:space="0"/>
            </w:tcBorders>
            <w:shd w:val="clear" w:color="FFFFFF" w:fill="FFFFFF"/>
            <w:noWrap w:val="0"/>
            <w:vAlign w:val="center"/>
          </w:tcPr>
          <w:p w14:paraId="01400837">
            <w:pPr>
              <w:rPr>
                <w:rFonts w:hint="eastAsia"/>
                <w:sz w:val="18"/>
                <w:szCs w:val="18"/>
              </w:rPr>
            </w:pPr>
            <w:r>
              <w:rPr>
                <w:rFonts w:hint="eastAsia"/>
                <w:sz w:val="18"/>
                <w:szCs w:val="18"/>
              </w:rPr>
              <w:t>010603001001</w:t>
            </w:r>
          </w:p>
        </w:tc>
        <w:tc>
          <w:tcPr>
            <w:tcW w:w="3560" w:type="dxa"/>
            <w:tcBorders>
              <w:top w:val="single" w:color="000000" w:sz="4" w:space="0"/>
              <w:left w:val="nil"/>
              <w:bottom w:val="single" w:color="000000" w:sz="4" w:space="0"/>
              <w:right w:val="single" w:color="000000" w:sz="4" w:space="0"/>
            </w:tcBorders>
            <w:shd w:val="clear" w:color="FFFFFF" w:fill="FFFFFF"/>
            <w:noWrap w:val="0"/>
            <w:vAlign w:val="center"/>
          </w:tcPr>
          <w:p w14:paraId="4D6551C8">
            <w:pPr>
              <w:rPr>
                <w:rFonts w:hint="eastAsia"/>
                <w:sz w:val="18"/>
                <w:szCs w:val="18"/>
              </w:rPr>
            </w:pPr>
            <w:r>
              <w:rPr>
                <w:rFonts w:hint="eastAsia"/>
                <w:sz w:val="18"/>
                <w:szCs w:val="18"/>
              </w:rPr>
              <w:t>钢柱、钢平台及钢梯等制作安装</w:t>
            </w:r>
            <w:r>
              <w:rPr>
                <w:rFonts w:hint="eastAsia"/>
                <w:sz w:val="18"/>
                <w:szCs w:val="18"/>
              </w:rPr>
              <w:br w:type="textWrapping"/>
            </w:r>
            <w:r>
              <w:rPr>
                <w:rFonts w:hint="eastAsia"/>
                <w:sz w:val="18"/>
                <w:szCs w:val="18"/>
              </w:rPr>
              <w:t>1.钢柱、钢梯及钢平台等制作安装</w:t>
            </w:r>
            <w:r>
              <w:rPr>
                <w:rFonts w:hint="eastAsia"/>
                <w:sz w:val="18"/>
                <w:szCs w:val="18"/>
              </w:rPr>
              <w:br w:type="textWrapping"/>
            </w:r>
            <w:r>
              <w:rPr>
                <w:rFonts w:hint="eastAsia"/>
                <w:sz w:val="18"/>
                <w:szCs w:val="18"/>
              </w:rPr>
              <w:t>2.主材甲供</w:t>
            </w:r>
            <w:r>
              <w:rPr>
                <w:rFonts w:hint="eastAsia"/>
                <w:sz w:val="18"/>
                <w:szCs w:val="18"/>
              </w:rPr>
              <w:br w:type="textWrapping"/>
            </w:r>
            <w:r>
              <w:rPr>
                <w:rFonts w:hint="eastAsia"/>
                <w:sz w:val="18"/>
                <w:szCs w:val="18"/>
              </w:rPr>
              <w:t>3.除锈防锈两遍及刷面漆两遍</w:t>
            </w:r>
            <w:r>
              <w:rPr>
                <w:rFonts w:hint="eastAsia"/>
                <w:sz w:val="18"/>
                <w:szCs w:val="18"/>
              </w:rPr>
              <w:br w:type="textWrapping"/>
            </w:r>
            <w:r>
              <w:rPr>
                <w:rFonts w:hint="eastAsia"/>
                <w:sz w:val="18"/>
                <w:szCs w:val="18"/>
              </w:rPr>
              <w:t>4..措施费综合考虑</w:t>
            </w:r>
          </w:p>
        </w:tc>
        <w:tc>
          <w:tcPr>
            <w:tcW w:w="580" w:type="dxa"/>
            <w:tcBorders>
              <w:top w:val="nil"/>
              <w:left w:val="nil"/>
              <w:bottom w:val="single" w:color="000000" w:sz="4" w:space="0"/>
              <w:right w:val="single" w:color="000000" w:sz="4" w:space="0"/>
            </w:tcBorders>
            <w:shd w:val="clear" w:color="FFFFFF" w:fill="FFFFFF"/>
            <w:noWrap w:val="0"/>
            <w:vAlign w:val="center"/>
          </w:tcPr>
          <w:p w14:paraId="503CB6F4">
            <w:pPr>
              <w:jc w:val="center"/>
              <w:rPr>
                <w:rFonts w:hint="eastAsia"/>
                <w:sz w:val="18"/>
                <w:szCs w:val="18"/>
              </w:rPr>
            </w:pPr>
            <w:r>
              <w:rPr>
                <w:rFonts w:hint="eastAsia"/>
                <w:sz w:val="18"/>
                <w:szCs w:val="18"/>
              </w:rPr>
              <w:t>t</w:t>
            </w:r>
          </w:p>
        </w:tc>
        <w:tc>
          <w:tcPr>
            <w:tcW w:w="960" w:type="dxa"/>
            <w:tcBorders>
              <w:top w:val="single" w:color="000000" w:sz="4" w:space="0"/>
              <w:left w:val="nil"/>
              <w:bottom w:val="single" w:color="000000" w:sz="4" w:space="0"/>
              <w:right w:val="single" w:color="000000" w:sz="4" w:space="0"/>
            </w:tcBorders>
            <w:shd w:val="clear" w:color="FFFFFF" w:fill="FFFFFF"/>
            <w:noWrap w:val="0"/>
            <w:vAlign w:val="center"/>
          </w:tcPr>
          <w:p w14:paraId="7882B59A">
            <w:pPr>
              <w:jc w:val="right"/>
              <w:rPr>
                <w:rFonts w:hint="eastAsia"/>
                <w:sz w:val="18"/>
                <w:szCs w:val="18"/>
              </w:rPr>
            </w:pPr>
            <w:r>
              <w:rPr>
                <w:rFonts w:hint="eastAsia"/>
                <w:sz w:val="18"/>
                <w:szCs w:val="18"/>
              </w:rPr>
              <w:t>20</w:t>
            </w:r>
          </w:p>
        </w:tc>
        <w:tc>
          <w:tcPr>
            <w:tcW w:w="36" w:type="dxa"/>
            <w:noWrap w:val="0"/>
            <w:vAlign w:val="center"/>
          </w:tcPr>
          <w:p w14:paraId="1D377157">
            <w:pPr>
              <w:rPr>
                <w:rFonts w:ascii="Times New Roman" w:hAnsi="Times New Roman" w:eastAsia="Times New Roman" w:cs="Times New Roman"/>
                <w:sz w:val="20"/>
                <w:szCs w:val="20"/>
              </w:rPr>
            </w:pPr>
          </w:p>
        </w:tc>
      </w:tr>
      <w:tr w14:paraId="40CA5209">
        <w:tblPrEx>
          <w:tblCellMar>
            <w:top w:w="0" w:type="dxa"/>
            <w:left w:w="108" w:type="dxa"/>
            <w:bottom w:w="0" w:type="dxa"/>
            <w:right w:w="108" w:type="dxa"/>
          </w:tblCellMar>
        </w:tblPrEx>
        <w:trPr>
          <w:trHeight w:val="735" w:hRule="atLeast"/>
        </w:trPr>
        <w:tc>
          <w:tcPr>
            <w:tcW w:w="760" w:type="dxa"/>
            <w:tcBorders>
              <w:top w:val="nil"/>
              <w:left w:val="single" w:color="000000" w:sz="8" w:space="0"/>
              <w:bottom w:val="single" w:color="000000" w:sz="4" w:space="0"/>
              <w:right w:val="single" w:color="000000" w:sz="4" w:space="0"/>
            </w:tcBorders>
            <w:shd w:val="clear" w:color="FFFFFF" w:fill="FFFFFF"/>
            <w:noWrap w:val="0"/>
            <w:vAlign w:val="center"/>
          </w:tcPr>
          <w:p w14:paraId="2F9E5D70">
            <w:pPr>
              <w:jc w:val="center"/>
              <w:rPr>
                <w:rFonts w:hint="eastAsia"/>
                <w:sz w:val="18"/>
                <w:szCs w:val="18"/>
              </w:rPr>
            </w:pPr>
            <w:r>
              <w:rPr>
                <w:rFonts w:hint="eastAsia"/>
                <w:sz w:val="18"/>
                <w:szCs w:val="18"/>
              </w:rPr>
              <w:t>9</w:t>
            </w:r>
          </w:p>
        </w:tc>
        <w:tc>
          <w:tcPr>
            <w:tcW w:w="1460" w:type="dxa"/>
            <w:tcBorders>
              <w:top w:val="nil"/>
              <w:left w:val="nil"/>
              <w:bottom w:val="single" w:color="000000" w:sz="4" w:space="0"/>
              <w:right w:val="single" w:color="000000" w:sz="4" w:space="0"/>
            </w:tcBorders>
            <w:shd w:val="clear" w:color="FFFFFF" w:fill="FFFFFF"/>
            <w:noWrap w:val="0"/>
            <w:vAlign w:val="center"/>
          </w:tcPr>
          <w:p w14:paraId="7C1969AC">
            <w:pPr>
              <w:rPr>
                <w:rFonts w:hint="eastAsia"/>
                <w:sz w:val="18"/>
                <w:szCs w:val="18"/>
              </w:rPr>
            </w:pPr>
            <w:r>
              <w:rPr>
                <w:rFonts w:hint="eastAsia"/>
                <w:sz w:val="18"/>
                <w:szCs w:val="18"/>
              </w:rPr>
              <w:t>030204001001</w:t>
            </w:r>
          </w:p>
        </w:tc>
        <w:tc>
          <w:tcPr>
            <w:tcW w:w="3560" w:type="dxa"/>
            <w:tcBorders>
              <w:top w:val="single" w:color="000000" w:sz="4" w:space="0"/>
              <w:left w:val="nil"/>
              <w:bottom w:val="single" w:color="000000" w:sz="4" w:space="0"/>
              <w:right w:val="single" w:color="000000" w:sz="4" w:space="0"/>
            </w:tcBorders>
            <w:shd w:val="clear" w:color="FFFFFF" w:fill="FFFFFF"/>
            <w:noWrap w:val="0"/>
            <w:vAlign w:val="center"/>
          </w:tcPr>
          <w:p w14:paraId="10744981">
            <w:pPr>
              <w:rPr>
                <w:rFonts w:hint="eastAsia"/>
                <w:sz w:val="18"/>
                <w:szCs w:val="18"/>
              </w:rPr>
            </w:pPr>
            <w:r>
              <w:rPr>
                <w:rFonts w:hint="eastAsia"/>
                <w:sz w:val="18"/>
                <w:szCs w:val="18"/>
              </w:rPr>
              <w:t>除尘器安装</w:t>
            </w:r>
            <w:r>
              <w:rPr>
                <w:rFonts w:hint="eastAsia"/>
                <w:sz w:val="18"/>
                <w:szCs w:val="18"/>
              </w:rPr>
              <w:br w:type="textWrapping"/>
            </w:r>
            <w:r>
              <w:rPr>
                <w:rFonts w:hint="eastAsia"/>
                <w:sz w:val="18"/>
                <w:szCs w:val="18"/>
              </w:rPr>
              <w:t>1.仓顶除尘器成套安装</w:t>
            </w:r>
            <w:r>
              <w:rPr>
                <w:rFonts w:hint="eastAsia"/>
                <w:sz w:val="18"/>
                <w:szCs w:val="18"/>
              </w:rPr>
              <w:br w:type="textWrapping"/>
            </w:r>
            <w:r>
              <w:rPr>
                <w:rFonts w:hint="eastAsia"/>
                <w:sz w:val="18"/>
                <w:szCs w:val="18"/>
              </w:rPr>
              <w:t>2.安装接线及调试</w:t>
            </w:r>
          </w:p>
        </w:tc>
        <w:tc>
          <w:tcPr>
            <w:tcW w:w="580" w:type="dxa"/>
            <w:tcBorders>
              <w:top w:val="nil"/>
              <w:left w:val="nil"/>
              <w:bottom w:val="single" w:color="000000" w:sz="4" w:space="0"/>
              <w:right w:val="single" w:color="000000" w:sz="4" w:space="0"/>
            </w:tcBorders>
            <w:shd w:val="clear" w:color="FFFFFF" w:fill="FFFFFF"/>
            <w:noWrap w:val="0"/>
            <w:vAlign w:val="center"/>
          </w:tcPr>
          <w:p w14:paraId="68540467">
            <w:pPr>
              <w:jc w:val="center"/>
              <w:rPr>
                <w:rFonts w:hint="eastAsia"/>
                <w:sz w:val="18"/>
                <w:szCs w:val="18"/>
              </w:rPr>
            </w:pPr>
            <w:r>
              <w:rPr>
                <w:rFonts w:hint="eastAsia"/>
                <w:sz w:val="18"/>
                <w:szCs w:val="18"/>
              </w:rPr>
              <w:t>台</w:t>
            </w:r>
          </w:p>
        </w:tc>
        <w:tc>
          <w:tcPr>
            <w:tcW w:w="960" w:type="dxa"/>
            <w:tcBorders>
              <w:top w:val="single" w:color="000000" w:sz="4" w:space="0"/>
              <w:left w:val="nil"/>
              <w:bottom w:val="single" w:color="000000" w:sz="4" w:space="0"/>
              <w:right w:val="single" w:color="000000" w:sz="4" w:space="0"/>
            </w:tcBorders>
            <w:shd w:val="clear" w:color="FFFFFF" w:fill="FFFFFF"/>
            <w:noWrap w:val="0"/>
            <w:vAlign w:val="center"/>
          </w:tcPr>
          <w:p w14:paraId="4FB2D91F">
            <w:pPr>
              <w:jc w:val="right"/>
              <w:rPr>
                <w:rFonts w:hint="eastAsia"/>
                <w:sz w:val="18"/>
                <w:szCs w:val="18"/>
              </w:rPr>
            </w:pPr>
            <w:r>
              <w:rPr>
                <w:rFonts w:hint="eastAsia"/>
                <w:sz w:val="18"/>
                <w:szCs w:val="18"/>
              </w:rPr>
              <w:t>1</w:t>
            </w:r>
          </w:p>
        </w:tc>
        <w:tc>
          <w:tcPr>
            <w:tcW w:w="36" w:type="dxa"/>
            <w:noWrap w:val="0"/>
            <w:vAlign w:val="center"/>
          </w:tcPr>
          <w:p w14:paraId="1DB763D8">
            <w:pPr>
              <w:rPr>
                <w:rFonts w:ascii="Times New Roman" w:hAnsi="Times New Roman" w:eastAsia="Times New Roman" w:cs="Times New Roman"/>
                <w:sz w:val="20"/>
                <w:szCs w:val="20"/>
              </w:rPr>
            </w:pPr>
          </w:p>
        </w:tc>
      </w:tr>
      <w:tr w14:paraId="59C8CF52">
        <w:tblPrEx>
          <w:tblCellMar>
            <w:top w:w="0" w:type="dxa"/>
            <w:left w:w="108" w:type="dxa"/>
            <w:bottom w:w="0" w:type="dxa"/>
            <w:right w:w="108" w:type="dxa"/>
          </w:tblCellMar>
        </w:tblPrEx>
        <w:trPr>
          <w:trHeight w:val="1410" w:hRule="atLeast"/>
        </w:trPr>
        <w:tc>
          <w:tcPr>
            <w:tcW w:w="760" w:type="dxa"/>
            <w:tcBorders>
              <w:top w:val="nil"/>
              <w:left w:val="single" w:color="000000" w:sz="8" w:space="0"/>
              <w:bottom w:val="single" w:color="000000" w:sz="4" w:space="0"/>
              <w:right w:val="single" w:color="000000" w:sz="4" w:space="0"/>
            </w:tcBorders>
            <w:shd w:val="clear" w:color="FFFFFF" w:fill="FFFFFF"/>
            <w:noWrap w:val="0"/>
            <w:vAlign w:val="center"/>
          </w:tcPr>
          <w:p w14:paraId="6A934B8B">
            <w:pPr>
              <w:jc w:val="center"/>
              <w:rPr>
                <w:rFonts w:hint="eastAsia"/>
                <w:sz w:val="18"/>
                <w:szCs w:val="18"/>
              </w:rPr>
            </w:pPr>
            <w:r>
              <w:rPr>
                <w:rFonts w:hint="eastAsia"/>
                <w:sz w:val="18"/>
                <w:szCs w:val="18"/>
              </w:rPr>
              <w:t>10</w:t>
            </w:r>
          </w:p>
        </w:tc>
        <w:tc>
          <w:tcPr>
            <w:tcW w:w="1460" w:type="dxa"/>
            <w:tcBorders>
              <w:top w:val="nil"/>
              <w:left w:val="nil"/>
              <w:bottom w:val="single" w:color="000000" w:sz="4" w:space="0"/>
              <w:right w:val="single" w:color="000000" w:sz="4" w:space="0"/>
            </w:tcBorders>
            <w:shd w:val="clear" w:color="FFFFFF" w:fill="FFFFFF"/>
            <w:noWrap w:val="0"/>
            <w:vAlign w:val="center"/>
          </w:tcPr>
          <w:p w14:paraId="05E2A5C2">
            <w:pPr>
              <w:rPr>
                <w:rFonts w:hint="eastAsia"/>
                <w:sz w:val="18"/>
                <w:szCs w:val="18"/>
              </w:rPr>
            </w:pPr>
            <w:r>
              <w:rPr>
                <w:rFonts w:hint="eastAsia"/>
                <w:sz w:val="18"/>
                <w:szCs w:val="18"/>
              </w:rPr>
              <w:t>030216008001</w:t>
            </w:r>
          </w:p>
        </w:tc>
        <w:tc>
          <w:tcPr>
            <w:tcW w:w="3560" w:type="dxa"/>
            <w:tcBorders>
              <w:top w:val="single" w:color="000000" w:sz="4" w:space="0"/>
              <w:left w:val="nil"/>
              <w:bottom w:val="single" w:color="000000" w:sz="4" w:space="0"/>
              <w:right w:val="single" w:color="000000" w:sz="4" w:space="0"/>
            </w:tcBorders>
            <w:shd w:val="clear" w:color="FFFFFF" w:fill="FFFFFF"/>
            <w:noWrap w:val="0"/>
            <w:vAlign w:val="center"/>
          </w:tcPr>
          <w:p w14:paraId="1D2E59DA">
            <w:pPr>
              <w:rPr>
                <w:rFonts w:hint="eastAsia"/>
                <w:sz w:val="18"/>
                <w:szCs w:val="18"/>
              </w:rPr>
            </w:pPr>
            <w:r>
              <w:rPr>
                <w:rFonts w:hint="eastAsia"/>
                <w:sz w:val="18"/>
                <w:szCs w:val="18"/>
              </w:rPr>
              <w:t>气动插板阀安装</w:t>
            </w:r>
            <w:r>
              <w:rPr>
                <w:rFonts w:hint="eastAsia"/>
                <w:sz w:val="18"/>
                <w:szCs w:val="18"/>
              </w:rPr>
              <w:br w:type="textWrapping"/>
            </w:r>
            <w:r>
              <w:rPr>
                <w:rFonts w:hint="eastAsia"/>
                <w:sz w:val="18"/>
                <w:szCs w:val="18"/>
              </w:rPr>
              <w:t>气动插板阀安装400×400mm</w:t>
            </w:r>
            <w:r>
              <w:rPr>
                <w:rFonts w:hint="eastAsia"/>
                <w:sz w:val="18"/>
                <w:szCs w:val="18"/>
              </w:rPr>
              <w:br w:type="textWrapping"/>
            </w:r>
            <w:r>
              <w:rPr>
                <w:rFonts w:hint="eastAsia"/>
                <w:sz w:val="18"/>
                <w:szCs w:val="18"/>
              </w:rPr>
              <w:t>1.气动插板阀安装</w:t>
            </w:r>
            <w:r>
              <w:rPr>
                <w:rFonts w:hint="eastAsia"/>
                <w:sz w:val="18"/>
                <w:szCs w:val="18"/>
              </w:rPr>
              <w:br w:type="textWrapping"/>
            </w:r>
            <w:r>
              <w:rPr>
                <w:rFonts w:hint="eastAsia"/>
                <w:sz w:val="18"/>
                <w:szCs w:val="18"/>
              </w:rPr>
              <w:t>2.含配套管路管件</w:t>
            </w:r>
            <w:r>
              <w:rPr>
                <w:rFonts w:hint="eastAsia"/>
                <w:sz w:val="18"/>
                <w:szCs w:val="18"/>
              </w:rPr>
              <w:br w:type="textWrapping"/>
            </w:r>
            <w:r>
              <w:rPr>
                <w:rFonts w:hint="eastAsia"/>
                <w:sz w:val="18"/>
                <w:szCs w:val="18"/>
              </w:rPr>
              <w:t>3.安装接线及调试</w:t>
            </w:r>
            <w:r>
              <w:rPr>
                <w:rFonts w:hint="eastAsia"/>
                <w:sz w:val="18"/>
                <w:szCs w:val="18"/>
              </w:rPr>
              <w:br w:type="textWrapping"/>
            </w:r>
            <w:r>
              <w:rPr>
                <w:rFonts w:hint="eastAsia"/>
                <w:sz w:val="18"/>
                <w:szCs w:val="18"/>
              </w:rPr>
              <w:t>4.完成整体安装调试</w:t>
            </w:r>
          </w:p>
        </w:tc>
        <w:tc>
          <w:tcPr>
            <w:tcW w:w="580" w:type="dxa"/>
            <w:tcBorders>
              <w:top w:val="nil"/>
              <w:left w:val="nil"/>
              <w:bottom w:val="single" w:color="000000" w:sz="4" w:space="0"/>
              <w:right w:val="single" w:color="000000" w:sz="4" w:space="0"/>
            </w:tcBorders>
            <w:shd w:val="clear" w:color="FFFFFF" w:fill="FFFFFF"/>
            <w:noWrap w:val="0"/>
            <w:vAlign w:val="center"/>
          </w:tcPr>
          <w:p w14:paraId="1C3EEF9B">
            <w:pPr>
              <w:jc w:val="center"/>
              <w:rPr>
                <w:rFonts w:hint="eastAsia"/>
                <w:sz w:val="18"/>
                <w:szCs w:val="18"/>
              </w:rPr>
            </w:pPr>
            <w:r>
              <w:rPr>
                <w:rFonts w:hint="eastAsia"/>
                <w:sz w:val="18"/>
                <w:szCs w:val="18"/>
              </w:rPr>
              <w:t>套</w:t>
            </w:r>
          </w:p>
        </w:tc>
        <w:tc>
          <w:tcPr>
            <w:tcW w:w="960" w:type="dxa"/>
            <w:tcBorders>
              <w:top w:val="single" w:color="000000" w:sz="4" w:space="0"/>
              <w:left w:val="nil"/>
              <w:bottom w:val="single" w:color="000000" w:sz="4" w:space="0"/>
              <w:right w:val="single" w:color="000000" w:sz="4" w:space="0"/>
            </w:tcBorders>
            <w:shd w:val="clear" w:color="FFFFFF" w:fill="FFFFFF"/>
            <w:noWrap w:val="0"/>
            <w:vAlign w:val="center"/>
          </w:tcPr>
          <w:p w14:paraId="0C4CEBE0">
            <w:pPr>
              <w:jc w:val="right"/>
              <w:rPr>
                <w:rFonts w:hint="eastAsia"/>
                <w:sz w:val="18"/>
                <w:szCs w:val="18"/>
              </w:rPr>
            </w:pPr>
            <w:r>
              <w:rPr>
                <w:rFonts w:hint="eastAsia"/>
                <w:sz w:val="18"/>
                <w:szCs w:val="18"/>
              </w:rPr>
              <w:t>1</w:t>
            </w:r>
          </w:p>
        </w:tc>
        <w:tc>
          <w:tcPr>
            <w:tcW w:w="36" w:type="dxa"/>
            <w:noWrap w:val="0"/>
            <w:vAlign w:val="center"/>
          </w:tcPr>
          <w:p w14:paraId="03B35C97">
            <w:pPr>
              <w:rPr>
                <w:rFonts w:ascii="Times New Roman" w:hAnsi="Times New Roman" w:eastAsia="Times New Roman" w:cs="Times New Roman"/>
                <w:sz w:val="20"/>
                <w:szCs w:val="20"/>
              </w:rPr>
            </w:pPr>
          </w:p>
        </w:tc>
      </w:tr>
      <w:tr w14:paraId="78A12829">
        <w:tblPrEx>
          <w:tblCellMar>
            <w:top w:w="0" w:type="dxa"/>
            <w:left w:w="108" w:type="dxa"/>
            <w:bottom w:w="0" w:type="dxa"/>
            <w:right w:w="108" w:type="dxa"/>
          </w:tblCellMar>
        </w:tblPrEx>
        <w:trPr>
          <w:trHeight w:val="960" w:hRule="atLeast"/>
        </w:trPr>
        <w:tc>
          <w:tcPr>
            <w:tcW w:w="760" w:type="dxa"/>
            <w:tcBorders>
              <w:top w:val="nil"/>
              <w:left w:val="single" w:color="000000" w:sz="8" w:space="0"/>
              <w:bottom w:val="single" w:color="000000" w:sz="4" w:space="0"/>
              <w:right w:val="single" w:color="000000" w:sz="4" w:space="0"/>
            </w:tcBorders>
            <w:shd w:val="clear" w:color="FFFFFF" w:fill="FFFFFF"/>
            <w:noWrap w:val="0"/>
            <w:vAlign w:val="center"/>
          </w:tcPr>
          <w:p w14:paraId="071B843E">
            <w:pPr>
              <w:jc w:val="center"/>
              <w:rPr>
                <w:rFonts w:hint="eastAsia"/>
                <w:sz w:val="18"/>
                <w:szCs w:val="18"/>
              </w:rPr>
            </w:pPr>
            <w:r>
              <w:rPr>
                <w:rFonts w:hint="eastAsia"/>
                <w:sz w:val="18"/>
                <w:szCs w:val="18"/>
              </w:rPr>
              <w:t>11</w:t>
            </w:r>
          </w:p>
        </w:tc>
        <w:tc>
          <w:tcPr>
            <w:tcW w:w="1460" w:type="dxa"/>
            <w:tcBorders>
              <w:top w:val="nil"/>
              <w:left w:val="nil"/>
              <w:bottom w:val="single" w:color="000000" w:sz="4" w:space="0"/>
              <w:right w:val="single" w:color="000000" w:sz="4" w:space="0"/>
            </w:tcBorders>
            <w:shd w:val="clear" w:color="FFFFFF" w:fill="FFFFFF"/>
            <w:noWrap w:val="0"/>
            <w:vAlign w:val="center"/>
          </w:tcPr>
          <w:p w14:paraId="1E342B1B">
            <w:pPr>
              <w:rPr>
                <w:rFonts w:hint="eastAsia"/>
                <w:sz w:val="18"/>
                <w:szCs w:val="18"/>
              </w:rPr>
            </w:pPr>
            <w:r>
              <w:rPr>
                <w:rFonts w:hint="eastAsia"/>
                <w:sz w:val="18"/>
                <w:szCs w:val="18"/>
              </w:rPr>
              <w:t>030216008002</w:t>
            </w:r>
          </w:p>
        </w:tc>
        <w:tc>
          <w:tcPr>
            <w:tcW w:w="3560" w:type="dxa"/>
            <w:tcBorders>
              <w:top w:val="single" w:color="000000" w:sz="4" w:space="0"/>
              <w:left w:val="nil"/>
              <w:bottom w:val="single" w:color="000000" w:sz="4" w:space="0"/>
              <w:right w:val="single" w:color="000000" w:sz="4" w:space="0"/>
            </w:tcBorders>
            <w:shd w:val="clear" w:color="FFFFFF" w:fill="FFFFFF"/>
            <w:noWrap w:val="0"/>
            <w:vAlign w:val="center"/>
          </w:tcPr>
          <w:p w14:paraId="1C0AD3D1">
            <w:pPr>
              <w:rPr>
                <w:rFonts w:hint="eastAsia"/>
                <w:sz w:val="18"/>
                <w:szCs w:val="18"/>
              </w:rPr>
            </w:pPr>
            <w:r>
              <w:rPr>
                <w:rFonts w:hint="eastAsia"/>
                <w:sz w:val="18"/>
                <w:szCs w:val="18"/>
              </w:rPr>
              <w:t>手动插板阀安装</w:t>
            </w:r>
            <w:r>
              <w:rPr>
                <w:rFonts w:hint="eastAsia"/>
                <w:sz w:val="18"/>
                <w:szCs w:val="18"/>
              </w:rPr>
              <w:br w:type="textWrapping"/>
            </w:r>
            <w:r>
              <w:rPr>
                <w:rFonts w:hint="eastAsia"/>
                <w:sz w:val="18"/>
                <w:szCs w:val="18"/>
              </w:rPr>
              <w:t>手动插板阀安装400×400mm</w:t>
            </w:r>
            <w:r>
              <w:rPr>
                <w:rFonts w:hint="eastAsia"/>
                <w:sz w:val="18"/>
                <w:szCs w:val="18"/>
              </w:rPr>
              <w:br w:type="textWrapping"/>
            </w:r>
            <w:r>
              <w:rPr>
                <w:rFonts w:hint="eastAsia"/>
                <w:sz w:val="18"/>
                <w:szCs w:val="18"/>
              </w:rPr>
              <w:t>1.手动插板阀安装</w:t>
            </w:r>
            <w:r>
              <w:rPr>
                <w:rFonts w:hint="eastAsia"/>
                <w:sz w:val="18"/>
                <w:szCs w:val="18"/>
              </w:rPr>
              <w:br w:type="textWrapping"/>
            </w:r>
            <w:r>
              <w:rPr>
                <w:rFonts w:hint="eastAsia"/>
                <w:sz w:val="18"/>
                <w:szCs w:val="18"/>
              </w:rPr>
              <w:t>2.安装与调试</w:t>
            </w:r>
          </w:p>
        </w:tc>
        <w:tc>
          <w:tcPr>
            <w:tcW w:w="580" w:type="dxa"/>
            <w:tcBorders>
              <w:top w:val="nil"/>
              <w:left w:val="nil"/>
              <w:bottom w:val="single" w:color="000000" w:sz="4" w:space="0"/>
              <w:right w:val="single" w:color="000000" w:sz="4" w:space="0"/>
            </w:tcBorders>
            <w:shd w:val="clear" w:color="FFFFFF" w:fill="FFFFFF"/>
            <w:noWrap w:val="0"/>
            <w:vAlign w:val="center"/>
          </w:tcPr>
          <w:p w14:paraId="7DDCC05D">
            <w:pPr>
              <w:jc w:val="center"/>
              <w:rPr>
                <w:rFonts w:hint="eastAsia"/>
                <w:sz w:val="18"/>
                <w:szCs w:val="18"/>
              </w:rPr>
            </w:pPr>
            <w:r>
              <w:rPr>
                <w:rFonts w:hint="eastAsia"/>
                <w:sz w:val="18"/>
                <w:szCs w:val="18"/>
              </w:rPr>
              <w:t>套</w:t>
            </w:r>
          </w:p>
        </w:tc>
        <w:tc>
          <w:tcPr>
            <w:tcW w:w="960" w:type="dxa"/>
            <w:tcBorders>
              <w:top w:val="single" w:color="000000" w:sz="4" w:space="0"/>
              <w:left w:val="nil"/>
              <w:bottom w:val="single" w:color="000000" w:sz="4" w:space="0"/>
              <w:right w:val="single" w:color="000000" w:sz="4" w:space="0"/>
            </w:tcBorders>
            <w:shd w:val="clear" w:color="FFFFFF" w:fill="FFFFFF"/>
            <w:noWrap w:val="0"/>
            <w:vAlign w:val="center"/>
          </w:tcPr>
          <w:p w14:paraId="59577CB5">
            <w:pPr>
              <w:jc w:val="right"/>
              <w:rPr>
                <w:rFonts w:hint="eastAsia"/>
                <w:sz w:val="18"/>
                <w:szCs w:val="18"/>
              </w:rPr>
            </w:pPr>
            <w:r>
              <w:rPr>
                <w:rFonts w:hint="eastAsia"/>
                <w:sz w:val="18"/>
                <w:szCs w:val="18"/>
              </w:rPr>
              <w:t>1</w:t>
            </w:r>
          </w:p>
        </w:tc>
        <w:tc>
          <w:tcPr>
            <w:tcW w:w="36" w:type="dxa"/>
            <w:noWrap w:val="0"/>
            <w:vAlign w:val="center"/>
          </w:tcPr>
          <w:p w14:paraId="5ECF1DF3">
            <w:pPr>
              <w:rPr>
                <w:rFonts w:ascii="Times New Roman" w:hAnsi="Times New Roman" w:eastAsia="Times New Roman" w:cs="Times New Roman"/>
                <w:sz w:val="20"/>
                <w:szCs w:val="20"/>
              </w:rPr>
            </w:pPr>
          </w:p>
        </w:tc>
      </w:tr>
      <w:tr w14:paraId="0A5845F2">
        <w:tblPrEx>
          <w:tblCellMar>
            <w:top w:w="0" w:type="dxa"/>
            <w:left w:w="108" w:type="dxa"/>
            <w:bottom w:w="0" w:type="dxa"/>
            <w:right w:w="108" w:type="dxa"/>
          </w:tblCellMar>
        </w:tblPrEx>
        <w:trPr>
          <w:trHeight w:val="960" w:hRule="atLeast"/>
        </w:trPr>
        <w:tc>
          <w:tcPr>
            <w:tcW w:w="760" w:type="dxa"/>
            <w:tcBorders>
              <w:top w:val="nil"/>
              <w:left w:val="single" w:color="000000" w:sz="8" w:space="0"/>
              <w:bottom w:val="single" w:color="000000" w:sz="4" w:space="0"/>
              <w:right w:val="single" w:color="000000" w:sz="4" w:space="0"/>
            </w:tcBorders>
            <w:shd w:val="clear" w:color="FFFFFF" w:fill="FFFFFF"/>
            <w:noWrap w:val="0"/>
            <w:vAlign w:val="center"/>
          </w:tcPr>
          <w:p w14:paraId="51A02391">
            <w:pPr>
              <w:jc w:val="center"/>
              <w:rPr>
                <w:rFonts w:hint="eastAsia"/>
                <w:sz w:val="18"/>
                <w:szCs w:val="18"/>
              </w:rPr>
            </w:pPr>
            <w:r>
              <w:rPr>
                <w:rFonts w:hint="eastAsia"/>
                <w:sz w:val="18"/>
                <w:szCs w:val="18"/>
              </w:rPr>
              <w:t>12</w:t>
            </w:r>
          </w:p>
        </w:tc>
        <w:tc>
          <w:tcPr>
            <w:tcW w:w="1460" w:type="dxa"/>
            <w:tcBorders>
              <w:top w:val="nil"/>
              <w:left w:val="nil"/>
              <w:bottom w:val="single" w:color="000000" w:sz="4" w:space="0"/>
              <w:right w:val="single" w:color="000000" w:sz="4" w:space="0"/>
            </w:tcBorders>
            <w:shd w:val="clear" w:color="FFFFFF" w:fill="FFFFFF"/>
            <w:noWrap w:val="0"/>
            <w:vAlign w:val="center"/>
          </w:tcPr>
          <w:p w14:paraId="08358509">
            <w:pPr>
              <w:rPr>
                <w:rFonts w:hint="eastAsia"/>
                <w:sz w:val="18"/>
                <w:szCs w:val="18"/>
              </w:rPr>
            </w:pPr>
            <w:r>
              <w:rPr>
                <w:rFonts w:hint="eastAsia"/>
                <w:sz w:val="18"/>
                <w:szCs w:val="18"/>
              </w:rPr>
              <w:t>030106002001</w:t>
            </w:r>
          </w:p>
        </w:tc>
        <w:tc>
          <w:tcPr>
            <w:tcW w:w="3560" w:type="dxa"/>
            <w:tcBorders>
              <w:top w:val="single" w:color="000000" w:sz="4" w:space="0"/>
              <w:left w:val="nil"/>
              <w:bottom w:val="single" w:color="000000" w:sz="4" w:space="0"/>
              <w:right w:val="single" w:color="000000" w:sz="4" w:space="0"/>
            </w:tcBorders>
            <w:shd w:val="clear" w:color="FFFFFF" w:fill="FFFFFF"/>
            <w:noWrap w:val="0"/>
            <w:vAlign w:val="center"/>
          </w:tcPr>
          <w:p w14:paraId="5F62DB1C">
            <w:pPr>
              <w:rPr>
                <w:rFonts w:hint="eastAsia"/>
                <w:sz w:val="18"/>
                <w:szCs w:val="18"/>
              </w:rPr>
            </w:pPr>
            <w:r>
              <w:rPr>
                <w:rFonts w:hint="eastAsia"/>
                <w:sz w:val="18"/>
                <w:szCs w:val="18"/>
              </w:rPr>
              <w:t>刮板输送机安装</w:t>
            </w:r>
            <w:r>
              <w:rPr>
                <w:rFonts w:hint="eastAsia"/>
                <w:sz w:val="18"/>
                <w:szCs w:val="18"/>
              </w:rPr>
              <w:br w:type="textWrapping"/>
            </w:r>
            <w:r>
              <w:rPr>
                <w:rFonts w:hint="eastAsia"/>
                <w:sz w:val="18"/>
                <w:szCs w:val="18"/>
              </w:rPr>
              <w:t>1.输送机成套安装，长度8米</w:t>
            </w:r>
            <w:r>
              <w:rPr>
                <w:rFonts w:hint="eastAsia"/>
                <w:sz w:val="18"/>
                <w:szCs w:val="18"/>
              </w:rPr>
              <w:br w:type="textWrapping"/>
            </w:r>
            <w:r>
              <w:rPr>
                <w:rFonts w:hint="eastAsia"/>
                <w:sz w:val="18"/>
                <w:szCs w:val="18"/>
              </w:rPr>
              <w:t>2.安装接线及调试</w:t>
            </w:r>
            <w:r>
              <w:rPr>
                <w:rFonts w:hint="eastAsia"/>
                <w:sz w:val="18"/>
                <w:szCs w:val="18"/>
              </w:rPr>
              <w:br w:type="textWrapping"/>
            </w:r>
            <w:r>
              <w:rPr>
                <w:rFonts w:hint="eastAsia"/>
                <w:sz w:val="18"/>
                <w:szCs w:val="18"/>
              </w:rPr>
              <w:t>3.措施费综合考虑</w:t>
            </w:r>
          </w:p>
        </w:tc>
        <w:tc>
          <w:tcPr>
            <w:tcW w:w="580" w:type="dxa"/>
            <w:tcBorders>
              <w:top w:val="nil"/>
              <w:left w:val="nil"/>
              <w:bottom w:val="single" w:color="000000" w:sz="4" w:space="0"/>
              <w:right w:val="single" w:color="000000" w:sz="4" w:space="0"/>
            </w:tcBorders>
            <w:shd w:val="clear" w:color="FFFFFF" w:fill="FFFFFF"/>
            <w:noWrap w:val="0"/>
            <w:vAlign w:val="center"/>
          </w:tcPr>
          <w:p w14:paraId="3C6C321B">
            <w:pPr>
              <w:jc w:val="center"/>
              <w:rPr>
                <w:rFonts w:hint="eastAsia"/>
                <w:sz w:val="18"/>
                <w:szCs w:val="18"/>
              </w:rPr>
            </w:pPr>
            <w:r>
              <w:rPr>
                <w:rFonts w:hint="eastAsia"/>
                <w:sz w:val="18"/>
                <w:szCs w:val="18"/>
              </w:rPr>
              <w:t>台</w:t>
            </w:r>
          </w:p>
        </w:tc>
        <w:tc>
          <w:tcPr>
            <w:tcW w:w="960" w:type="dxa"/>
            <w:tcBorders>
              <w:top w:val="single" w:color="000000" w:sz="4" w:space="0"/>
              <w:left w:val="nil"/>
              <w:bottom w:val="single" w:color="000000" w:sz="4" w:space="0"/>
              <w:right w:val="single" w:color="000000" w:sz="4" w:space="0"/>
            </w:tcBorders>
            <w:shd w:val="clear" w:color="FFFFFF" w:fill="FFFFFF"/>
            <w:noWrap w:val="0"/>
            <w:vAlign w:val="center"/>
          </w:tcPr>
          <w:p w14:paraId="753C9C23">
            <w:pPr>
              <w:jc w:val="right"/>
              <w:rPr>
                <w:rFonts w:hint="eastAsia"/>
                <w:sz w:val="18"/>
                <w:szCs w:val="18"/>
              </w:rPr>
            </w:pPr>
            <w:r>
              <w:rPr>
                <w:rFonts w:hint="eastAsia"/>
                <w:sz w:val="18"/>
                <w:szCs w:val="18"/>
              </w:rPr>
              <w:t>1</w:t>
            </w:r>
          </w:p>
        </w:tc>
        <w:tc>
          <w:tcPr>
            <w:tcW w:w="36" w:type="dxa"/>
            <w:noWrap w:val="0"/>
            <w:vAlign w:val="center"/>
          </w:tcPr>
          <w:p w14:paraId="40862FE0">
            <w:pPr>
              <w:rPr>
                <w:rFonts w:ascii="Times New Roman" w:hAnsi="Times New Roman" w:eastAsia="Times New Roman" w:cs="Times New Roman"/>
                <w:sz w:val="20"/>
                <w:szCs w:val="20"/>
              </w:rPr>
            </w:pPr>
          </w:p>
        </w:tc>
      </w:tr>
      <w:tr w14:paraId="545741E7">
        <w:tblPrEx>
          <w:tblCellMar>
            <w:top w:w="0" w:type="dxa"/>
            <w:left w:w="108" w:type="dxa"/>
            <w:bottom w:w="0" w:type="dxa"/>
            <w:right w:w="108" w:type="dxa"/>
          </w:tblCellMar>
        </w:tblPrEx>
        <w:trPr>
          <w:trHeight w:val="960" w:hRule="atLeast"/>
        </w:trPr>
        <w:tc>
          <w:tcPr>
            <w:tcW w:w="760" w:type="dxa"/>
            <w:tcBorders>
              <w:top w:val="nil"/>
              <w:left w:val="single" w:color="000000" w:sz="8" w:space="0"/>
              <w:bottom w:val="single" w:color="000000" w:sz="4" w:space="0"/>
              <w:right w:val="single" w:color="000000" w:sz="4" w:space="0"/>
            </w:tcBorders>
            <w:shd w:val="clear" w:color="FFFFFF" w:fill="FFFFFF"/>
            <w:noWrap w:val="0"/>
            <w:vAlign w:val="center"/>
          </w:tcPr>
          <w:p w14:paraId="2673B923">
            <w:pPr>
              <w:jc w:val="center"/>
              <w:rPr>
                <w:rFonts w:hint="eastAsia"/>
                <w:sz w:val="18"/>
                <w:szCs w:val="18"/>
              </w:rPr>
            </w:pPr>
            <w:r>
              <w:rPr>
                <w:rFonts w:hint="eastAsia"/>
                <w:sz w:val="18"/>
                <w:szCs w:val="18"/>
              </w:rPr>
              <w:t>13</w:t>
            </w:r>
          </w:p>
        </w:tc>
        <w:tc>
          <w:tcPr>
            <w:tcW w:w="1460" w:type="dxa"/>
            <w:tcBorders>
              <w:top w:val="nil"/>
              <w:left w:val="nil"/>
              <w:bottom w:val="single" w:color="000000" w:sz="4" w:space="0"/>
              <w:right w:val="single" w:color="000000" w:sz="4" w:space="0"/>
            </w:tcBorders>
            <w:shd w:val="clear" w:color="FFFFFF" w:fill="FFFFFF"/>
            <w:noWrap w:val="0"/>
            <w:vAlign w:val="center"/>
          </w:tcPr>
          <w:p w14:paraId="6214CEA2">
            <w:pPr>
              <w:rPr>
                <w:rFonts w:hint="eastAsia"/>
                <w:sz w:val="18"/>
                <w:szCs w:val="18"/>
              </w:rPr>
            </w:pPr>
            <w:r>
              <w:rPr>
                <w:rFonts w:hint="eastAsia"/>
                <w:sz w:val="18"/>
                <w:szCs w:val="18"/>
              </w:rPr>
              <w:t>030224002001</w:t>
            </w:r>
          </w:p>
        </w:tc>
        <w:tc>
          <w:tcPr>
            <w:tcW w:w="3560" w:type="dxa"/>
            <w:tcBorders>
              <w:top w:val="single" w:color="000000" w:sz="4" w:space="0"/>
              <w:left w:val="nil"/>
              <w:bottom w:val="single" w:color="000000" w:sz="4" w:space="0"/>
              <w:right w:val="single" w:color="000000" w:sz="4" w:space="0"/>
            </w:tcBorders>
            <w:shd w:val="clear" w:color="FFFFFF" w:fill="FFFFFF"/>
            <w:noWrap w:val="0"/>
            <w:vAlign w:val="center"/>
          </w:tcPr>
          <w:p w14:paraId="57771ADF">
            <w:pPr>
              <w:rPr>
                <w:rFonts w:hint="eastAsia"/>
                <w:sz w:val="18"/>
                <w:szCs w:val="18"/>
              </w:rPr>
            </w:pPr>
            <w:r>
              <w:rPr>
                <w:rFonts w:hint="eastAsia"/>
                <w:sz w:val="18"/>
                <w:szCs w:val="18"/>
              </w:rPr>
              <w:t>散装机安装</w:t>
            </w:r>
            <w:r>
              <w:rPr>
                <w:rFonts w:hint="eastAsia"/>
                <w:sz w:val="18"/>
                <w:szCs w:val="18"/>
              </w:rPr>
              <w:br w:type="textWrapping"/>
            </w:r>
            <w:r>
              <w:rPr>
                <w:rFonts w:hint="eastAsia"/>
                <w:sz w:val="18"/>
                <w:szCs w:val="18"/>
              </w:rPr>
              <w:t>1.散装机安装</w:t>
            </w:r>
            <w:r>
              <w:rPr>
                <w:rFonts w:hint="eastAsia"/>
                <w:sz w:val="18"/>
                <w:szCs w:val="18"/>
              </w:rPr>
              <w:br w:type="textWrapping"/>
            </w:r>
            <w:r>
              <w:rPr>
                <w:rFonts w:hint="eastAsia"/>
                <w:sz w:val="18"/>
                <w:szCs w:val="18"/>
              </w:rPr>
              <w:t>2.含配套管路管件</w:t>
            </w:r>
            <w:r>
              <w:rPr>
                <w:rFonts w:hint="eastAsia"/>
                <w:sz w:val="18"/>
                <w:szCs w:val="18"/>
              </w:rPr>
              <w:br w:type="textWrapping"/>
            </w:r>
            <w:r>
              <w:rPr>
                <w:rFonts w:hint="eastAsia"/>
                <w:sz w:val="18"/>
                <w:szCs w:val="18"/>
              </w:rPr>
              <w:t>3.安装接线及调试</w:t>
            </w:r>
          </w:p>
        </w:tc>
        <w:tc>
          <w:tcPr>
            <w:tcW w:w="580" w:type="dxa"/>
            <w:tcBorders>
              <w:top w:val="nil"/>
              <w:left w:val="nil"/>
              <w:bottom w:val="single" w:color="000000" w:sz="4" w:space="0"/>
              <w:right w:val="single" w:color="000000" w:sz="4" w:space="0"/>
            </w:tcBorders>
            <w:shd w:val="clear" w:color="FFFFFF" w:fill="FFFFFF"/>
            <w:noWrap w:val="0"/>
            <w:vAlign w:val="center"/>
          </w:tcPr>
          <w:p w14:paraId="3512E276">
            <w:pPr>
              <w:jc w:val="center"/>
              <w:rPr>
                <w:rFonts w:hint="eastAsia"/>
                <w:sz w:val="18"/>
                <w:szCs w:val="18"/>
              </w:rPr>
            </w:pPr>
            <w:r>
              <w:rPr>
                <w:rFonts w:hint="eastAsia"/>
                <w:sz w:val="18"/>
                <w:szCs w:val="18"/>
              </w:rPr>
              <w:t>台</w:t>
            </w:r>
          </w:p>
        </w:tc>
        <w:tc>
          <w:tcPr>
            <w:tcW w:w="960" w:type="dxa"/>
            <w:tcBorders>
              <w:top w:val="single" w:color="000000" w:sz="4" w:space="0"/>
              <w:left w:val="nil"/>
              <w:bottom w:val="single" w:color="000000" w:sz="4" w:space="0"/>
              <w:right w:val="single" w:color="000000" w:sz="4" w:space="0"/>
            </w:tcBorders>
            <w:shd w:val="clear" w:color="FFFFFF" w:fill="FFFFFF"/>
            <w:noWrap w:val="0"/>
            <w:vAlign w:val="center"/>
          </w:tcPr>
          <w:p w14:paraId="14B44E1D">
            <w:pPr>
              <w:jc w:val="right"/>
              <w:rPr>
                <w:rFonts w:hint="eastAsia"/>
                <w:sz w:val="18"/>
                <w:szCs w:val="18"/>
              </w:rPr>
            </w:pPr>
            <w:r>
              <w:rPr>
                <w:rFonts w:hint="eastAsia"/>
                <w:sz w:val="18"/>
                <w:szCs w:val="18"/>
              </w:rPr>
              <w:t>1</w:t>
            </w:r>
          </w:p>
        </w:tc>
        <w:tc>
          <w:tcPr>
            <w:tcW w:w="36" w:type="dxa"/>
            <w:noWrap w:val="0"/>
            <w:vAlign w:val="center"/>
          </w:tcPr>
          <w:p w14:paraId="2982F4DD">
            <w:pPr>
              <w:rPr>
                <w:rFonts w:ascii="Times New Roman" w:hAnsi="Times New Roman" w:eastAsia="Times New Roman" w:cs="Times New Roman"/>
                <w:sz w:val="20"/>
                <w:szCs w:val="20"/>
              </w:rPr>
            </w:pPr>
          </w:p>
        </w:tc>
      </w:tr>
      <w:tr w14:paraId="26E0C08E">
        <w:tblPrEx>
          <w:tblCellMar>
            <w:top w:w="0" w:type="dxa"/>
            <w:left w:w="108" w:type="dxa"/>
            <w:bottom w:w="0" w:type="dxa"/>
            <w:right w:w="108" w:type="dxa"/>
          </w:tblCellMar>
        </w:tblPrEx>
        <w:trPr>
          <w:trHeight w:val="1860" w:hRule="atLeast"/>
        </w:trPr>
        <w:tc>
          <w:tcPr>
            <w:tcW w:w="760" w:type="dxa"/>
            <w:tcBorders>
              <w:top w:val="nil"/>
              <w:left w:val="single" w:color="000000" w:sz="8" w:space="0"/>
              <w:bottom w:val="single" w:color="000000" w:sz="4" w:space="0"/>
              <w:right w:val="single" w:color="000000" w:sz="4" w:space="0"/>
            </w:tcBorders>
            <w:shd w:val="clear" w:color="FFFFFF" w:fill="FFFFFF"/>
            <w:noWrap w:val="0"/>
            <w:vAlign w:val="center"/>
          </w:tcPr>
          <w:p w14:paraId="50AE018A">
            <w:pPr>
              <w:jc w:val="center"/>
              <w:rPr>
                <w:rFonts w:hint="eastAsia"/>
                <w:sz w:val="18"/>
                <w:szCs w:val="18"/>
              </w:rPr>
            </w:pPr>
            <w:r>
              <w:rPr>
                <w:rFonts w:hint="eastAsia"/>
                <w:sz w:val="18"/>
                <w:szCs w:val="18"/>
              </w:rPr>
              <w:t>14</w:t>
            </w:r>
          </w:p>
        </w:tc>
        <w:tc>
          <w:tcPr>
            <w:tcW w:w="1460" w:type="dxa"/>
            <w:tcBorders>
              <w:top w:val="nil"/>
              <w:left w:val="nil"/>
              <w:bottom w:val="single" w:color="000000" w:sz="4" w:space="0"/>
              <w:right w:val="single" w:color="000000" w:sz="4" w:space="0"/>
            </w:tcBorders>
            <w:shd w:val="clear" w:color="FFFFFF" w:fill="FFFFFF"/>
            <w:noWrap w:val="0"/>
            <w:vAlign w:val="center"/>
          </w:tcPr>
          <w:p w14:paraId="7F1B78B4">
            <w:pPr>
              <w:rPr>
                <w:rFonts w:hint="eastAsia"/>
                <w:sz w:val="18"/>
                <w:szCs w:val="18"/>
              </w:rPr>
            </w:pPr>
            <w:r>
              <w:rPr>
                <w:rFonts w:hint="eastAsia"/>
                <w:sz w:val="18"/>
                <w:szCs w:val="18"/>
              </w:rPr>
              <w:t>030113021001</w:t>
            </w:r>
          </w:p>
        </w:tc>
        <w:tc>
          <w:tcPr>
            <w:tcW w:w="3560" w:type="dxa"/>
            <w:tcBorders>
              <w:top w:val="single" w:color="000000" w:sz="4" w:space="0"/>
              <w:left w:val="nil"/>
              <w:bottom w:val="single" w:color="000000" w:sz="4" w:space="0"/>
              <w:right w:val="single" w:color="000000" w:sz="4" w:space="0"/>
            </w:tcBorders>
            <w:shd w:val="clear" w:color="FFFFFF" w:fill="FFFFFF"/>
            <w:noWrap w:val="0"/>
            <w:vAlign w:val="center"/>
          </w:tcPr>
          <w:p w14:paraId="3CA5BBB4">
            <w:pPr>
              <w:rPr>
                <w:rFonts w:hint="eastAsia"/>
                <w:sz w:val="18"/>
                <w:szCs w:val="18"/>
              </w:rPr>
            </w:pPr>
            <w:r>
              <w:rPr>
                <w:rFonts w:hint="eastAsia"/>
                <w:sz w:val="18"/>
                <w:szCs w:val="18"/>
              </w:rPr>
              <w:t>硫化充气设备安装</w:t>
            </w:r>
            <w:r>
              <w:rPr>
                <w:rFonts w:hint="eastAsia"/>
                <w:sz w:val="18"/>
                <w:szCs w:val="18"/>
              </w:rPr>
              <w:br w:type="textWrapping"/>
            </w:r>
            <w:r>
              <w:rPr>
                <w:rFonts w:hint="eastAsia"/>
                <w:sz w:val="18"/>
                <w:szCs w:val="18"/>
              </w:rPr>
              <w:t>硫化充气设备</w:t>
            </w:r>
            <w:r>
              <w:rPr>
                <w:rFonts w:hint="eastAsia"/>
                <w:sz w:val="18"/>
                <w:szCs w:val="18"/>
              </w:rPr>
              <w:br w:type="textWrapping"/>
            </w:r>
            <w:r>
              <w:rPr>
                <w:rFonts w:hint="eastAsia"/>
                <w:sz w:val="18"/>
                <w:szCs w:val="18"/>
              </w:rPr>
              <w:t>1.硫化充气箱供货及安装，尺寸600×150mm</w:t>
            </w:r>
            <w:r>
              <w:rPr>
                <w:rFonts w:hint="eastAsia"/>
                <w:sz w:val="18"/>
                <w:szCs w:val="18"/>
              </w:rPr>
              <w:br w:type="textWrapping"/>
            </w:r>
            <w:r>
              <w:rPr>
                <w:rFonts w:hint="eastAsia"/>
                <w:sz w:val="18"/>
                <w:szCs w:val="18"/>
              </w:rPr>
              <w:t>2.含配套设备间管路管件</w:t>
            </w:r>
            <w:r>
              <w:rPr>
                <w:rFonts w:hint="eastAsia"/>
                <w:sz w:val="18"/>
                <w:szCs w:val="18"/>
              </w:rPr>
              <w:br w:type="textWrapping"/>
            </w:r>
            <w:r>
              <w:rPr>
                <w:rFonts w:hint="eastAsia"/>
                <w:sz w:val="18"/>
                <w:szCs w:val="18"/>
              </w:rPr>
              <w:t>3.接入空压机气源，管路30m。外接气源条件：空压机+冷干机</w:t>
            </w:r>
            <w:r>
              <w:rPr>
                <w:rFonts w:hint="eastAsia"/>
                <w:sz w:val="18"/>
                <w:szCs w:val="18"/>
              </w:rPr>
              <w:br w:type="textWrapping"/>
            </w:r>
            <w:r>
              <w:rPr>
                <w:rFonts w:hint="eastAsia"/>
                <w:sz w:val="18"/>
                <w:szCs w:val="18"/>
              </w:rPr>
              <w:t>4.安装及调试</w:t>
            </w:r>
          </w:p>
        </w:tc>
        <w:tc>
          <w:tcPr>
            <w:tcW w:w="580" w:type="dxa"/>
            <w:tcBorders>
              <w:top w:val="nil"/>
              <w:left w:val="nil"/>
              <w:bottom w:val="single" w:color="000000" w:sz="4" w:space="0"/>
              <w:right w:val="single" w:color="000000" w:sz="4" w:space="0"/>
            </w:tcBorders>
            <w:shd w:val="clear" w:color="FFFFFF" w:fill="FFFFFF"/>
            <w:noWrap w:val="0"/>
            <w:vAlign w:val="center"/>
          </w:tcPr>
          <w:p w14:paraId="1F50AF1B">
            <w:pPr>
              <w:jc w:val="center"/>
              <w:rPr>
                <w:rFonts w:hint="eastAsia"/>
                <w:sz w:val="18"/>
                <w:szCs w:val="18"/>
              </w:rPr>
            </w:pPr>
            <w:r>
              <w:rPr>
                <w:rFonts w:hint="eastAsia"/>
                <w:sz w:val="18"/>
                <w:szCs w:val="18"/>
              </w:rPr>
              <w:t>套</w:t>
            </w:r>
          </w:p>
        </w:tc>
        <w:tc>
          <w:tcPr>
            <w:tcW w:w="960" w:type="dxa"/>
            <w:tcBorders>
              <w:top w:val="single" w:color="000000" w:sz="4" w:space="0"/>
              <w:left w:val="nil"/>
              <w:bottom w:val="single" w:color="000000" w:sz="4" w:space="0"/>
              <w:right w:val="single" w:color="000000" w:sz="4" w:space="0"/>
            </w:tcBorders>
            <w:shd w:val="clear" w:color="FFFFFF" w:fill="FFFFFF"/>
            <w:noWrap w:val="0"/>
            <w:vAlign w:val="center"/>
          </w:tcPr>
          <w:p w14:paraId="3A78FA87">
            <w:pPr>
              <w:jc w:val="right"/>
              <w:rPr>
                <w:rFonts w:hint="eastAsia"/>
                <w:sz w:val="18"/>
                <w:szCs w:val="18"/>
              </w:rPr>
            </w:pPr>
            <w:r>
              <w:rPr>
                <w:rFonts w:hint="eastAsia"/>
                <w:sz w:val="18"/>
                <w:szCs w:val="18"/>
              </w:rPr>
              <w:t>1</w:t>
            </w:r>
          </w:p>
        </w:tc>
        <w:tc>
          <w:tcPr>
            <w:tcW w:w="36" w:type="dxa"/>
            <w:noWrap w:val="0"/>
            <w:vAlign w:val="center"/>
          </w:tcPr>
          <w:p w14:paraId="0D4A7060">
            <w:pPr>
              <w:rPr>
                <w:rFonts w:ascii="Times New Roman" w:hAnsi="Times New Roman" w:eastAsia="Times New Roman" w:cs="Times New Roman"/>
                <w:sz w:val="20"/>
                <w:szCs w:val="20"/>
              </w:rPr>
            </w:pPr>
          </w:p>
        </w:tc>
      </w:tr>
      <w:tr w14:paraId="69ED744A">
        <w:tblPrEx>
          <w:tblCellMar>
            <w:top w:w="0" w:type="dxa"/>
            <w:left w:w="108" w:type="dxa"/>
            <w:bottom w:w="0" w:type="dxa"/>
            <w:right w:w="108" w:type="dxa"/>
          </w:tblCellMar>
        </w:tblPrEx>
        <w:trPr>
          <w:trHeight w:val="960" w:hRule="atLeast"/>
        </w:trPr>
        <w:tc>
          <w:tcPr>
            <w:tcW w:w="760" w:type="dxa"/>
            <w:tcBorders>
              <w:top w:val="nil"/>
              <w:left w:val="single" w:color="000000" w:sz="8" w:space="0"/>
              <w:bottom w:val="single" w:color="000000" w:sz="4" w:space="0"/>
              <w:right w:val="single" w:color="000000" w:sz="4" w:space="0"/>
            </w:tcBorders>
            <w:shd w:val="clear" w:color="FFFFFF" w:fill="FFFFFF"/>
            <w:noWrap w:val="0"/>
            <w:vAlign w:val="center"/>
          </w:tcPr>
          <w:p w14:paraId="16DD6868">
            <w:pPr>
              <w:jc w:val="center"/>
              <w:rPr>
                <w:rFonts w:hint="eastAsia"/>
                <w:sz w:val="18"/>
                <w:szCs w:val="18"/>
              </w:rPr>
            </w:pPr>
            <w:r>
              <w:rPr>
                <w:rFonts w:hint="eastAsia"/>
                <w:sz w:val="18"/>
                <w:szCs w:val="18"/>
              </w:rPr>
              <w:t>15</w:t>
            </w:r>
          </w:p>
        </w:tc>
        <w:tc>
          <w:tcPr>
            <w:tcW w:w="1460" w:type="dxa"/>
            <w:tcBorders>
              <w:top w:val="nil"/>
              <w:left w:val="nil"/>
              <w:bottom w:val="single" w:color="000000" w:sz="4" w:space="0"/>
              <w:right w:val="single" w:color="000000" w:sz="4" w:space="0"/>
            </w:tcBorders>
            <w:shd w:val="clear" w:color="FFFFFF" w:fill="FFFFFF"/>
            <w:noWrap w:val="0"/>
            <w:vAlign w:val="center"/>
          </w:tcPr>
          <w:p w14:paraId="2CE241F9">
            <w:pPr>
              <w:rPr>
                <w:rFonts w:hint="eastAsia"/>
                <w:sz w:val="18"/>
                <w:szCs w:val="18"/>
              </w:rPr>
            </w:pPr>
            <w:r>
              <w:rPr>
                <w:rFonts w:hint="eastAsia"/>
                <w:sz w:val="18"/>
                <w:szCs w:val="18"/>
              </w:rPr>
              <w:t>030215001002</w:t>
            </w:r>
          </w:p>
        </w:tc>
        <w:tc>
          <w:tcPr>
            <w:tcW w:w="3560" w:type="dxa"/>
            <w:tcBorders>
              <w:top w:val="single" w:color="000000" w:sz="4" w:space="0"/>
              <w:left w:val="nil"/>
              <w:bottom w:val="single" w:color="000000" w:sz="4" w:space="0"/>
              <w:right w:val="single" w:color="000000" w:sz="4" w:space="0"/>
            </w:tcBorders>
            <w:shd w:val="clear" w:color="FFFFFF" w:fill="FFFFFF"/>
            <w:noWrap w:val="0"/>
            <w:vAlign w:val="center"/>
          </w:tcPr>
          <w:p w14:paraId="71969058">
            <w:pPr>
              <w:rPr>
                <w:rFonts w:hint="eastAsia"/>
                <w:sz w:val="18"/>
                <w:szCs w:val="18"/>
              </w:rPr>
            </w:pPr>
            <w:r>
              <w:rPr>
                <w:rFonts w:hint="eastAsia"/>
                <w:sz w:val="18"/>
                <w:szCs w:val="18"/>
              </w:rPr>
              <w:t>皮带机</w:t>
            </w:r>
            <w:r>
              <w:rPr>
                <w:rFonts w:hint="eastAsia"/>
                <w:sz w:val="18"/>
                <w:szCs w:val="18"/>
              </w:rPr>
              <w:br w:type="textWrapping"/>
            </w:r>
            <w:r>
              <w:rPr>
                <w:rFonts w:hint="eastAsia"/>
                <w:sz w:val="18"/>
                <w:szCs w:val="18"/>
              </w:rPr>
              <w:t>1.皮带机成套安装，长度15米，规格B650，电机功率7.5Kw</w:t>
            </w:r>
            <w:r>
              <w:rPr>
                <w:rFonts w:hint="eastAsia"/>
                <w:sz w:val="18"/>
                <w:szCs w:val="18"/>
              </w:rPr>
              <w:br w:type="textWrapping"/>
            </w:r>
            <w:r>
              <w:rPr>
                <w:rFonts w:hint="eastAsia"/>
                <w:sz w:val="18"/>
                <w:szCs w:val="18"/>
              </w:rPr>
              <w:t>2.安装接线及调试</w:t>
            </w:r>
          </w:p>
        </w:tc>
        <w:tc>
          <w:tcPr>
            <w:tcW w:w="580" w:type="dxa"/>
            <w:tcBorders>
              <w:top w:val="nil"/>
              <w:left w:val="nil"/>
              <w:bottom w:val="single" w:color="000000" w:sz="4" w:space="0"/>
              <w:right w:val="single" w:color="000000" w:sz="4" w:space="0"/>
            </w:tcBorders>
            <w:shd w:val="clear" w:color="FFFFFF" w:fill="FFFFFF"/>
            <w:noWrap w:val="0"/>
            <w:vAlign w:val="center"/>
          </w:tcPr>
          <w:p w14:paraId="36992DAF">
            <w:pPr>
              <w:jc w:val="center"/>
              <w:rPr>
                <w:rFonts w:hint="eastAsia"/>
                <w:sz w:val="18"/>
                <w:szCs w:val="18"/>
              </w:rPr>
            </w:pPr>
            <w:r>
              <w:rPr>
                <w:rFonts w:hint="eastAsia"/>
                <w:sz w:val="18"/>
                <w:szCs w:val="18"/>
              </w:rPr>
              <w:t>台</w:t>
            </w:r>
          </w:p>
        </w:tc>
        <w:tc>
          <w:tcPr>
            <w:tcW w:w="960" w:type="dxa"/>
            <w:tcBorders>
              <w:top w:val="single" w:color="000000" w:sz="4" w:space="0"/>
              <w:left w:val="nil"/>
              <w:bottom w:val="single" w:color="000000" w:sz="4" w:space="0"/>
              <w:right w:val="single" w:color="000000" w:sz="4" w:space="0"/>
            </w:tcBorders>
            <w:shd w:val="clear" w:color="FFFFFF" w:fill="FFFFFF"/>
            <w:noWrap w:val="0"/>
            <w:vAlign w:val="center"/>
          </w:tcPr>
          <w:p w14:paraId="289D0A43">
            <w:pPr>
              <w:jc w:val="right"/>
              <w:rPr>
                <w:rFonts w:hint="eastAsia"/>
                <w:sz w:val="18"/>
                <w:szCs w:val="18"/>
              </w:rPr>
            </w:pPr>
            <w:r>
              <w:rPr>
                <w:rFonts w:hint="eastAsia"/>
                <w:sz w:val="18"/>
                <w:szCs w:val="18"/>
              </w:rPr>
              <w:t>1</w:t>
            </w:r>
          </w:p>
        </w:tc>
        <w:tc>
          <w:tcPr>
            <w:tcW w:w="36" w:type="dxa"/>
            <w:noWrap w:val="0"/>
            <w:vAlign w:val="center"/>
          </w:tcPr>
          <w:p w14:paraId="27747D3D">
            <w:pPr>
              <w:rPr>
                <w:rFonts w:ascii="Times New Roman" w:hAnsi="Times New Roman" w:eastAsia="Times New Roman" w:cs="Times New Roman"/>
                <w:sz w:val="20"/>
                <w:szCs w:val="20"/>
              </w:rPr>
            </w:pPr>
          </w:p>
        </w:tc>
      </w:tr>
      <w:tr w14:paraId="1E41B91B">
        <w:tblPrEx>
          <w:tblCellMar>
            <w:top w:w="0" w:type="dxa"/>
            <w:left w:w="108" w:type="dxa"/>
            <w:bottom w:w="0" w:type="dxa"/>
            <w:right w:w="108" w:type="dxa"/>
          </w:tblCellMar>
        </w:tblPrEx>
        <w:trPr>
          <w:trHeight w:val="735" w:hRule="atLeast"/>
        </w:trPr>
        <w:tc>
          <w:tcPr>
            <w:tcW w:w="760" w:type="dxa"/>
            <w:tcBorders>
              <w:top w:val="nil"/>
              <w:left w:val="single" w:color="000000" w:sz="8" w:space="0"/>
              <w:bottom w:val="single" w:color="000000" w:sz="4" w:space="0"/>
              <w:right w:val="single" w:color="000000" w:sz="4" w:space="0"/>
            </w:tcBorders>
            <w:shd w:val="clear" w:color="FFFFFF" w:fill="FFFFFF"/>
            <w:noWrap w:val="0"/>
            <w:vAlign w:val="center"/>
          </w:tcPr>
          <w:p w14:paraId="63F8CA15">
            <w:pPr>
              <w:jc w:val="center"/>
              <w:rPr>
                <w:rFonts w:hint="eastAsia"/>
                <w:sz w:val="18"/>
                <w:szCs w:val="18"/>
              </w:rPr>
            </w:pPr>
            <w:r>
              <w:rPr>
                <w:rFonts w:hint="eastAsia"/>
                <w:sz w:val="18"/>
                <w:szCs w:val="18"/>
              </w:rPr>
              <w:t>16</w:t>
            </w:r>
          </w:p>
        </w:tc>
        <w:tc>
          <w:tcPr>
            <w:tcW w:w="1460" w:type="dxa"/>
            <w:tcBorders>
              <w:top w:val="nil"/>
              <w:left w:val="nil"/>
              <w:bottom w:val="single" w:color="000000" w:sz="4" w:space="0"/>
              <w:right w:val="single" w:color="000000" w:sz="4" w:space="0"/>
            </w:tcBorders>
            <w:shd w:val="clear" w:color="FFFFFF" w:fill="FFFFFF"/>
            <w:noWrap w:val="0"/>
            <w:vAlign w:val="center"/>
          </w:tcPr>
          <w:p w14:paraId="65081E35">
            <w:pPr>
              <w:rPr>
                <w:rFonts w:hint="eastAsia"/>
                <w:sz w:val="18"/>
                <w:szCs w:val="18"/>
              </w:rPr>
            </w:pPr>
            <w:r>
              <w:rPr>
                <w:rFonts w:hint="eastAsia"/>
                <w:sz w:val="18"/>
                <w:szCs w:val="18"/>
              </w:rPr>
              <w:t>030215004001</w:t>
            </w:r>
          </w:p>
        </w:tc>
        <w:tc>
          <w:tcPr>
            <w:tcW w:w="3560" w:type="dxa"/>
            <w:tcBorders>
              <w:top w:val="single" w:color="000000" w:sz="4" w:space="0"/>
              <w:left w:val="nil"/>
              <w:bottom w:val="single" w:color="000000" w:sz="4" w:space="0"/>
              <w:right w:val="single" w:color="000000" w:sz="4" w:space="0"/>
            </w:tcBorders>
            <w:shd w:val="clear" w:color="FFFFFF" w:fill="FFFFFF"/>
            <w:noWrap w:val="0"/>
            <w:vAlign w:val="center"/>
          </w:tcPr>
          <w:p w14:paraId="0E9B5E4B">
            <w:pPr>
              <w:rPr>
                <w:rFonts w:hint="eastAsia"/>
                <w:sz w:val="18"/>
                <w:szCs w:val="18"/>
              </w:rPr>
            </w:pPr>
            <w:r>
              <w:rPr>
                <w:rFonts w:hint="eastAsia"/>
                <w:sz w:val="18"/>
                <w:szCs w:val="18"/>
              </w:rPr>
              <w:t>皮带秤</w:t>
            </w:r>
            <w:r>
              <w:rPr>
                <w:rFonts w:hint="eastAsia"/>
                <w:sz w:val="18"/>
                <w:szCs w:val="18"/>
              </w:rPr>
              <w:br w:type="textWrapping"/>
            </w:r>
            <w:r>
              <w:rPr>
                <w:rFonts w:hint="eastAsia"/>
                <w:sz w:val="18"/>
                <w:szCs w:val="18"/>
              </w:rPr>
              <w:t>1.皮带给料秤成套安装，长度8.5米</w:t>
            </w:r>
            <w:r>
              <w:rPr>
                <w:rFonts w:hint="eastAsia"/>
                <w:sz w:val="18"/>
                <w:szCs w:val="18"/>
              </w:rPr>
              <w:br w:type="textWrapping"/>
            </w:r>
            <w:r>
              <w:rPr>
                <w:rFonts w:hint="eastAsia"/>
                <w:sz w:val="18"/>
                <w:szCs w:val="18"/>
              </w:rPr>
              <w:t>2.安装接线及调试</w:t>
            </w:r>
          </w:p>
        </w:tc>
        <w:tc>
          <w:tcPr>
            <w:tcW w:w="580" w:type="dxa"/>
            <w:tcBorders>
              <w:top w:val="nil"/>
              <w:left w:val="nil"/>
              <w:bottom w:val="single" w:color="000000" w:sz="4" w:space="0"/>
              <w:right w:val="single" w:color="000000" w:sz="4" w:space="0"/>
            </w:tcBorders>
            <w:shd w:val="clear" w:color="FFFFFF" w:fill="FFFFFF"/>
            <w:noWrap w:val="0"/>
            <w:vAlign w:val="center"/>
          </w:tcPr>
          <w:p w14:paraId="7A9F0005">
            <w:pPr>
              <w:jc w:val="center"/>
              <w:rPr>
                <w:rFonts w:hint="eastAsia"/>
                <w:sz w:val="18"/>
                <w:szCs w:val="18"/>
              </w:rPr>
            </w:pPr>
            <w:r>
              <w:rPr>
                <w:rFonts w:hint="eastAsia"/>
                <w:sz w:val="18"/>
                <w:szCs w:val="18"/>
              </w:rPr>
              <w:t>台</w:t>
            </w:r>
          </w:p>
        </w:tc>
        <w:tc>
          <w:tcPr>
            <w:tcW w:w="960" w:type="dxa"/>
            <w:tcBorders>
              <w:top w:val="single" w:color="000000" w:sz="4" w:space="0"/>
              <w:left w:val="nil"/>
              <w:bottom w:val="single" w:color="000000" w:sz="4" w:space="0"/>
              <w:right w:val="single" w:color="000000" w:sz="4" w:space="0"/>
            </w:tcBorders>
            <w:shd w:val="clear" w:color="FFFFFF" w:fill="FFFFFF"/>
            <w:noWrap w:val="0"/>
            <w:vAlign w:val="center"/>
          </w:tcPr>
          <w:p w14:paraId="53248E2F">
            <w:pPr>
              <w:jc w:val="right"/>
              <w:rPr>
                <w:rFonts w:hint="eastAsia"/>
                <w:sz w:val="18"/>
                <w:szCs w:val="18"/>
              </w:rPr>
            </w:pPr>
            <w:r>
              <w:rPr>
                <w:rFonts w:hint="eastAsia"/>
                <w:sz w:val="18"/>
                <w:szCs w:val="18"/>
              </w:rPr>
              <w:t>1</w:t>
            </w:r>
          </w:p>
        </w:tc>
        <w:tc>
          <w:tcPr>
            <w:tcW w:w="36" w:type="dxa"/>
            <w:noWrap w:val="0"/>
            <w:vAlign w:val="center"/>
          </w:tcPr>
          <w:p w14:paraId="47DB7540">
            <w:pPr>
              <w:rPr>
                <w:rFonts w:ascii="Times New Roman" w:hAnsi="Times New Roman" w:eastAsia="Times New Roman" w:cs="Times New Roman"/>
                <w:sz w:val="20"/>
                <w:szCs w:val="20"/>
              </w:rPr>
            </w:pPr>
          </w:p>
        </w:tc>
      </w:tr>
      <w:tr w14:paraId="0549C99F">
        <w:tblPrEx>
          <w:tblCellMar>
            <w:top w:w="0" w:type="dxa"/>
            <w:left w:w="108" w:type="dxa"/>
            <w:bottom w:w="0" w:type="dxa"/>
            <w:right w:w="108" w:type="dxa"/>
          </w:tblCellMar>
        </w:tblPrEx>
        <w:trPr>
          <w:trHeight w:val="1185" w:hRule="atLeast"/>
        </w:trPr>
        <w:tc>
          <w:tcPr>
            <w:tcW w:w="760" w:type="dxa"/>
            <w:tcBorders>
              <w:top w:val="nil"/>
              <w:left w:val="single" w:color="000000" w:sz="8" w:space="0"/>
              <w:bottom w:val="single" w:color="000000" w:sz="4" w:space="0"/>
              <w:right w:val="single" w:color="000000" w:sz="4" w:space="0"/>
            </w:tcBorders>
            <w:shd w:val="clear" w:color="FFFFFF" w:fill="FFFFFF"/>
            <w:noWrap w:val="0"/>
            <w:vAlign w:val="center"/>
          </w:tcPr>
          <w:p w14:paraId="76D88740">
            <w:pPr>
              <w:jc w:val="center"/>
              <w:rPr>
                <w:rFonts w:hint="eastAsia"/>
                <w:sz w:val="18"/>
                <w:szCs w:val="18"/>
              </w:rPr>
            </w:pPr>
            <w:r>
              <w:rPr>
                <w:rFonts w:hint="eastAsia"/>
                <w:sz w:val="18"/>
                <w:szCs w:val="18"/>
              </w:rPr>
              <w:t>17</w:t>
            </w:r>
          </w:p>
        </w:tc>
        <w:tc>
          <w:tcPr>
            <w:tcW w:w="1460" w:type="dxa"/>
            <w:tcBorders>
              <w:top w:val="nil"/>
              <w:left w:val="nil"/>
              <w:bottom w:val="single" w:color="000000" w:sz="4" w:space="0"/>
              <w:right w:val="single" w:color="000000" w:sz="4" w:space="0"/>
            </w:tcBorders>
            <w:shd w:val="clear" w:color="FFFFFF" w:fill="FFFFFF"/>
            <w:noWrap w:val="0"/>
            <w:vAlign w:val="center"/>
          </w:tcPr>
          <w:p w14:paraId="7CB20A09">
            <w:pPr>
              <w:rPr>
                <w:rFonts w:hint="eastAsia"/>
                <w:sz w:val="18"/>
                <w:szCs w:val="18"/>
              </w:rPr>
            </w:pPr>
            <w:r>
              <w:rPr>
                <w:rFonts w:hint="eastAsia"/>
                <w:sz w:val="18"/>
                <w:szCs w:val="18"/>
              </w:rPr>
              <w:t>030207005001</w:t>
            </w:r>
          </w:p>
        </w:tc>
        <w:tc>
          <w:tcPr>
            <w:tcW w:w="3560" w:type="dxa"/>
            <w:tcBorders>
              <w:top w:val="single" w:color="000000" w:sz="4" w:space="0"/>
              <w:left w:val="nil"/>
              <w:bottom w:val="single" w:color="000000" w:sz="4" w:space="0"/>
              <w:right w:val="single" w:color="000000" w:sz="4" w:space="0"/>
            </w:tcBorders>
            <w:shd w:val="clear" w:color="FFFFFF" w:fill="FFFFFF"/>
            <w:noWrap w:val="0"/>
            <w:vAlign w:val="center"/>
          </w:tcPr>
          <w:p w14:paraId="31EA9074">
            <w:pPr>
              <w:rPr>
                <w:rFonts w:hint="eastAsia"/>
                <w:sz w:val="18"/>
                <w:szCs w:val="18"/>
              </w:rPr>
            </w:pPr>
            <w:r>
              <w:rPr>
                <w:rFonts w:hint="eastAsia"/>
                <w:sz w:val="18"/>
                <w:szCs w:val="18"/>
              </w:rPr>
              <w:t>选粉机安装安装调试</w:t>
            </w:r>
            <w:r>
              <w:rPr>
                <w:rFonts w:hint="eastAsia"/>
                <w:sz w:val="18"/>
                <w:szCs w:val="18"/>
              </w:rPr>
              <w:br w:type="textWrapping"/>
            </w:r>
            <w:r>
              <w:rPr>
                <w:rFonts w:hint="eastAsia"/>
                <w:sz w:val="18"/>
                <w:szCs w:val="18"/>
              </w:rPr>
              <w:t>1.选粉机主机安装在钢平台上，选粉风机落地安装，并安装现成风管连接。</w:t>
            </w:r>
            <w:r>
              <w:rPr>
                <w:rFonts w:hint="eastAsia"/>
                <w:sz w:val="18"/>
                <w:szCs w:val="18"/>
              </w:rPr>
              <w:br w:type="textWrapping"/>
            </w:r>
            <w:r>
              <w:rPr>
                <w:rFonts w:hint="eastAsia"/>
                <w:sz w:val="18"/>
                <w:szCs w:val="18"/>
              </w:rPr>
              <w:t>2.安装接线及调试</w:t>
            </w:r>
            <w:r>
              <w:rPr>
                <w:rFonts w:hint="eastAsia"/>
                <w:sz w:val="18"/>
                <w:szCs w:val="18"/>
              </w:rPr>
              <w:br w:type="textWrapping"/>
            </w:r>
            <w:r>
              <w:rPr>
                <w:rFonts w:hint="eastAsia"/>
                <w:sz w:val="18"/>
                <w:szCs w:val="18"/>
              </w:rPr>
              <w:t>3.重量约18.5吨</w:t>
            </w:r>
          </w:p>
        </w:tc>
        <w:tc>
          <w:tcPr>
            <w:tcW w:w="580" w:type="dxa"/>
            <w:tcBorders>
              <w:top w:val="nil"/>
              <w:left w:val="nil"/>
              <w:bottom w:val="single" w:color="000000" w:sz="4" w:space="0"/>
              <w:right w:val="single" w:color="000000" w:sz="4" w:space="0"/>
            </w:tcBorders>
            <w:shd w:val="clear" w:color="FFFFFF" w:fill="FFFFFF"/>
            <w:noWrap w:val="0"/>
            <w:vAlign w:val="center"/>
          </w:tcPr>
          <w:p w14:paraId="4DFDE937">
            <w:pPr>
              <w:jc w:val="center"/>
              <w:rPr>
                <w:rFonts w:hint="eastAsia"/>
                <w:sz w:val="18"/>
                <w:szCs w:val="18"/>
              </w:rPr>
            </w:pPr>
            <w:r>
              <w:rPr>
                <w:rFonts w:hint="eastAsia"/>
                <w:sz w:val="18"/>
                <w:szCs w:val="18"/>
              </w:rPr>
              <w:t>台</w:t>
            </w:r>
          </w:p>
        </w:tc>
        <w:tc>
          <w:tcPr>
            <w:tcW w:w="960" w:type="dxa"/>
            <w:tcBorders>
              <w:top w:val="single" w:color="000000" w:sz="4" w:space="0"/>
              <w:left w:val="nil"/>
              <w:bottom w:val="single" w:color="000000" w:sz="4" w:space="0"/>
              <w:right w:val="single" w:color="000000" w:sz="4" w:space="0"/>
            </w:tcBorders>
            <w:shd w:val="clear" w:color="FFFFFF" w:fill="FFFFFF"/>
            <w:noWrap w:val="0"/>
            <w:vAlign w:val="center"/>
          </w:tcPr>
          <w:p w14:paraId="5B00E0EE">
            <w:pPr>
              <w:jc w:val="right"/>
              <w:rPr>
                <w:rFonts w:hint="eastAsia"/>
                <w:sz w:val="18"/>
                <w:szCs w:val="18"/>
              </w:rPr>
            </w:pPr>
            <w:r>
              <w:rPr>
                <w:rFonts w:hint="eastAsia"/>
                <w:sz w:val="18"/>
                <w:szCs w:val="18"/>
              </w:rPr>
              <w:t>1</w:t>
            </w:r>
          </w:p>
        </w:tc>
        <w:tc>
          <w:tcPr>
            <w:tcW w:w="36" w:type="dxa"/>
            <w:noWrap w:val="0"/>
            <w:vAlign w:val="center"/>
          </w:tcPr>
          <w:p w14:paraId="11D37BF3">
            <w:pPr>
              <w:rPr>
                <w:rFonts w:ascii="Times New Roman" w:hAnsi="Times New Roman" w:eastAsia="Times New Roman" w:cs="Times New Roman"/>
                <w:sz w:val="20"/>
                <w:szCs w:val="20"/>
              </w:rPr>
            </w:pPr>
          </w:p>
        </w:tc>
      </w:tr>
      <w:tr w14:paraId="5BE05314">
        <w:tblPrEx>
          <w:tblCellMar>
            <w:top w:w="0" w:type="dxa"/>
            <w:left w:w="108" w:type="dxa"/>
            <w:bottom w:w="0" w:type="dxa"/>
            <w:right w:w="108" w:type="dxa"/>
          </w:tblCellMar>
        </w:tblPrEx>
        <w:trPr>
          <w:trHeight w:val="1860" w:hRule="atLeast"/>
        </w:trPr>
        <w:tc>
          <w:tcPr>
            <w:tcW w:w="760" w:type="dxa"/>
            <w:tcBorders>
              <w:top w:val="nil"/>
              <w:left w:val="single" w:color="000000" w:sz="8" w:space="0"/>
              <w:bottom w:val="single" w:color="000000" w:sz="4" w:space="0"/>
              <w:right w:val="single" w:color="000000" w:sz="4" w:space="0"/>
            </w:tcBorders>
            <w:shd w:val="clear" w:color="FFFFFF" w:fill="FFFFFF"/>
            <w:noWrap w:val="0"/>
            <w:vAlign w:val="center"/>
          </w:tcPr>
          <w:p w14:paraId="2E313C73">
            <w:pPr>
              <w:jc w:val="center"/>
              <w:rPr>
                <w:rFonts w:hint="eastAsia"/>
                <w:sz w:val="18"/>
                <w:szCs w:val="18"/>
              </w:rPr>
            </w:pPr>
            <w:r>
              <w:rPr>
                <w:rFonts w:hint="eastAsia"/>
                <w:sz w:val="18"/>
                <w:szCs w:val="18"/>
              </w:rPr>
              <w:t>18</w:t>
            </w:r>
          </w:p>
        </w:tc>
        <w:tc>
          <w:tcPr>
            <w:tcW w:w="1460" w:type="dxa"/>
            <w:tcBorders>
              <w:top w:val="nil"/>
              <w:left w:val="nil"/>
              <w:bottom w:val="single" w:color="000000" w:sz="4" w:space="0"/>
              <w:right w:val="single" w:color="000000" w:sz="4" w:space="0"/>
            </w:tcBorders>
            <w:shd w:val="clear" w:color="FFFFFF" w:fill="FFFFFF"/>
            <w:noWrap w:val="0"/>
            <w:vAlign w:val="center"/>
          </w:tcPr>
          <w:p w14:paraId="43F61711">
            <w:pPr>
              <w:rPr>
                <w:rFonts w:hint="eastAsia"/>
                <w:sz w:val="18"/>
                <w:szCs w:val="18"/>
              </w:rPr>
            </w:pPr>
            <w:r>
              <w:rPr>
                <w:rFonts w:hint="eastAsia"/>
                <w:sz w:val="18"/>
                <w:szCs w:val="18"/>
              </w:rPr>
              <w:t>030106001001</w:t>
            </w:r>
          </w:p>
        </w:tc>
        <w:tc>
          <w:tcPr>
            <w:tcW w:w="3560" w:type="dxa"/>
            <w:tcBorders>
              <w:top w:val="single" w:color="000000" w:sz="4" w:space="0"/>
              <w:left w:val="nil"/>
              <w:bottom w:val="single" w:color="000000" w:sz="4" w:space="0"/>
              <w:right w:val="single" w:color="000000" w:sz="4" w:space="0"/>
            </w:tcBorders>
            <w:shd w:val="clear" w:color="FFFFFF" w:fill="FFFFFF"/>
            <w:noWrap w:val="0"/>
            <w:vAlign w:val="center"/>
          </w:tcPr>
          <w:p w14:paraId="306B9640">
            <w:pPr>
              <w:rPr>
                <w:rFonts w:hint="eastAsia"/>
                <w:sz w:val="18"/>
                <w:szCs w:val="18"/>
              </w:rPr>
            </w:pPr>
            <w:r>
              <w:rPr>
                <w:rFonts w:hint="eastAsia"/>
                <w:sz w:val="18"/>
                <w:szCs w:val="18"/>
              </w:rPr>
              <w:t>斗式提升机安装调试</w:t>
            </w:r>
            <w:r>
              <w:rPr>
                <w:rFonts w:hint="eastAsia"/>
                <w:sz w:val="18"/>
                <w:szCs w:val="18"/>
              </w:rPr>
              <w:br w:type="textWrapping"/>
            </w:r>
            <w:r>
              <w:rPr>
                <w:rFonts w:hint="eastAsia"/>
                <w:sz w:val="18"/>
                <w:szCs w:val="18"/>
              </w:rPr>
              <w:t>1.钢丝胶带斗提机成套安装，高度分别为20米和10米</w:t>
            </w:r>
            <w:r>
              <w:rPr>
                <w:rFonts w:hint="eastAsia"/>
                <w:sz w:val="18"/>
                <w:szCs w:val="18"/>
              </w:rPr>
              <w:br w:type="textWrapping"/>
            </w:r>
            <w:r>
              <w:rPr>
                <w:rFonts w:hint="eastAsia"/>
                <w:sz w:val="18"/>
                <w:szCs w:val="18"/>
              </w:rPr>
              <w:t>2.含进、出料管制作安装</w:t>
            </w:r>
            <w:r>
              <w:rPr>
                <w:rFonts w:hint="eastAsia"/>
                <w:sz w:val="18"/>
                <w:szCs w:val="18"/>
              </w:rPr>
              <w:br w:type="textWrapping"/>
            </w:r>
            <w:r>
              <w:rPr>
                <w:rFonts w:hint="eastAsia"/>
                <w:sz w:val="18"/>
                <w:szCs w:val="18"/>
              </w:rPr>
              <w:t>3.安装接线及调试</w:t>
            </w:r>
            <w:r>
              <w:rPr>
                <w:rFonts w:hint="eastAsia"/>
                <w:sz w:val="18"/>
                <w:szCs w:val="18"/>
              </w:rPr>
              <w:br w:type="textWrapping"/>
            </w:r>
            <w:r>
              <w:rPr>
                <w:rFonts w:hint="eastAsia"/>
                <w:sz w:val="18"/>
                <w:szCs w:val="18"/>
              </w:rPr>
              <w:t>4.250*20000重量预估4.5吨/台,400*10000重量约6吨，2台设备大约10.5吨。</w:t>
            </w:r>
          </w:p>
        </w:tc>
        <w:tc>
          <w:tcPr>
            <w:tcW w:w="580" w:type="dxa"/>
            <w:tcBorders>
              <w:top w:val="nil"/>
              <w:left w:val="nil"/>
              <w:bottom w:val="single" w:color="000000" w:sz="4" w:space="0"/>
              <w:right w:val="single" w:color="000000" w:sz="4" w:space="0"/>
            </w:tcBorders>
            <w:shd w:val="clear" w:color="FFFFFF" w:fill="FFFFFF"/>
            <w:noWrap w:val="0"/>
            <w:vAlign w:val="center"/>
          </w:tcPr>
          <w:p w14:paraId="690EDA57">
            <w:pPr>
              <w:jc w:val="center"/>
              <w:rPr>
                <w:rFonts w:hint="eastAsia"/>
                <w:sz w:val="18"/>
                <w:szCs w:val="18"/>
              </w:rPr>
            </w:pPr>
            <w:r>
              <w:rPr>
                <w:rFonts w:hint="eastAsia"/>
                <w:sz w:val="18"/>
                <w:szCs w:val="18"/>
              </w:rPr>
              <w:t>台</w:t>
            </w:r>
          </w:p>
        </w:tc>
        <w:tc>
          <w:tcPr>
            <w:tcW w:w="960" w:type="dxa"/>
            <w:tcBorders>
              <w:top w:val="single" w:color="000000" w:sz="4" w:space="0"/>
              <w:left w:val="nil"/>
              <w:bottom w:val="single" w:color="000000" w:sz="4" w:space="0"/>
              <w:right w:val="single" w:color="000000" w:sz="4" w:space="0"/>
            </w:tcBorders>
            <w:shd w:val="clear" w:color="FFFFFF" w:fill="FFFFFF"/>
            <w:noWrap w:val="0"/>
            <w:vAlign w:val="center"/>
          </w:tcPr>
          <w:p w14:paraId="55B66A5F">
            <w:pPr>
              <w:jc w:val="right"/>
              <w:rPr>
                <w:rFonts w:hint="eastAsia"/>
                <w:sz w:val="18"/>
                <w:szCs w:val="18"/>
              </w:rPr>
            </w:pPr>
            <w:r>
              <w:rPr>
                <w:rFonts w:hint="eastAsia"/>
                <w:sz w:val="18"/>
                <w:szCs w:val="18"/>
              </w:rPr>
              <w:t>2</w:t>
            </w:r>
          </w:p>
        </w:tc>
        <w:tc>
          <w:tcPr>
            <w:tcW w:w="36" w:type="dxa"/>
            <w:noWrap w:val="0"/>
            <w:vAlign w:val="center"/>
          </w:tcPr>
          <w:p w14:paraId="0CDF7F4A">
            <w:pPr>
              <w:rPr>
                <w:rFonts w:ascii="Times New Roman" w:hAnsi="Times New Roman" w:eastAsia="Times New Roman" w:cs="Times New Roman"/>
                <w:sz w:val="20"/>
                <w:szCs w:val="20"/>
              </w:rPr>
            </w:pPr>
          </w:p>
        </w:tc>
      </w:tr>
      <w:tr w14:paraId="2AB6E10D">
        <w:tblPrEx>
          <w:tblCellMar>
            <w:top w:w="0" w:type="dxa"/>
            <w:left w:w="108" w:type="dxa"/>
            <w:bottom w:w="0" w:type="dxa"/>
            <w:right w:w="108" w:type="dxa"/>
          </w:tblCellMar>
        </w:tblPrEx>
        <w:trPr>
          <w:trHeight w:val="960" w:hRule="atLeast"/>
        </w:trPr>
        <w:tc>
          <w:tcPr>
            <w:tcW w:w="760" w:type="dxa"/>
            <w:tcBorders>
              <w:top w:val="nil"/>
              <w:left w:val="single" w:color="000000" w:sz="8" w:space="0"/>
              <w:bottom w:val="single" w:color="000000" w:sz="4" w:space="0"/>
              <w:right w:val="single" w:color="000000" w:sz="4" w:space="0"/>
            </w:tcBorders>
            <w:shd w:val="clear" w:color="FFFFFF" w:fill="FFFFFF"/>
            <w:noWrap w:val="0"/>
            <w:vAlign w:val="center"/>
          </w:tcPr>
          <w:p w14:paraId="6DC26614">
            <w:pPr>
              <w:jc w:val="center"/>
              <w:rPr>
                <w:rFonts w:hint="eastAsia"/>
                <w:sz w:val="18"/>
                <w:szCs w:val="18"/>
              </w:rPr>
            </w:pPr>
            <w:r>
              <w:rPr>
                <w:rFonts w:hint="eastAsia"/>
                <w:sz w:val="18"/>
                <w:szCs w:val="18"/>
              </w:rPr>
              <w:t>19</w:t>
            </w:r>
          </w:p>
        </w:tc>
        <w:tc>
          <w:tcPr>
            <w:tcW w:w="1460" w:type="dxa"/>
            <w:tcBorders>
              <w:top w:val="nil"/>
              <w:left w:val="nil"/>
              <w:bottom w:val="single" w:color="000000" w:sz="4" w:space="0"/>
              <w:right w:val="single" w:color="000000" w:sz="4" w:space="0"/>
            </w:tcBorders>
            <w:shd w:val="clear" w:color="FFFFFF" w:fill="FFFFFF"/>
            <w:noWrap w:val="0"/>
            <w:vAlign w:val="center"/>
          </w:tcPr>
          <w:p w14:paraId="7B52AAC5">
            <w:pPr>
              <w:rPr>
                <w:rFonts w:hint="eastAsia"/>
                <w:sz w:val="18"/>
                <w:szCs w:val="18"/>
              </w:rPr>
            </w:pPr>
            <w:r>
              <w:rPr>
                <w:rFonts w:hint="eastAsia"/>
                <w:sz w:val="18"/>
                <w:szCs w:val="18"/>
              </w:rPr>
              <w:t>011611004002</w:t>
            </w:r>
          </w:p>
        </w:tc>
        <w:tc>
          <w:tcPr>
            <w:tcW w:w="3560" w:type="dxa"/>
            <w:tcBorders>
              <w:top w:val="single" w:color="000000" w:sz="4" w:space="0"/>
              <w:left w:val="nil"/>
              <w:bottom w:val="single" w:color="000000" w:sz="4" w:space="0"/>
              <w:right w:val="single" w:color="000000" w:sz="4" w:space="0"/>
            </w:tcBorders>
            <w:shd w:val="clear" w:color="FFFFFF" w:fill="FFFFFF"/>
            <w:noWrap w:val="0"/>
            <w:vAlign w:val="center"/>
          </w:tcPr>
          <w:p w14:paraId="696A5E68">
            <w:pPr>
              <w:rPr>
                <w:rFonts w:hint="eastAsia"/>
                <w:sz w:val="18"/>
                <w:szCs w:val="18"/>
              </w:rPr>
            </w:pPr>
            <w:r>
              <w:rPr>
                <w:rFonts w:hint="eastAsia"/>
                <w:sz w:val="18"/>
                <w:szCs w:val="18"/>
              </w:rPr>
              <w:t>钢支撑、钢墙架拆除</w:t>
            </w:r>
            <w:r>
              <w:rPr>
                <w:rFonts w:hint="eastAsia"/>
                <w:sz w:val="18"/>
                <w:szCs w:val="18"/>
              </w:rPr>
              <w:br w:type="textWrapping"/>
            </w:r>
            <w:r>
              <w:rPr>
                <w:rFonts w:hint="eastAsia"/>
                <w:sz w:val="18"/>
                <w:szCs w:val="18"/>
              </w:rPr>
              <w:t>钢支撑、钢墙架拆除</w:t>
            </w:r>
            <w:r>
              <w:rPr>
                <w:rFonts w:hint="eastAsia"/>
                <w:sz w:val="18"/>
                <w:szCs w:val="18"/>
              </w:rPr>
              <w:br w:type="textWrapping"/>
            </w:r>
            <w:r>
              <w:rPr>
                <w:rFonts w:hint="eastAsia"/>
                <w:sz w:val="18"/>
                <w:szCs w:val="18"/>
              </w:rPr>
              <w:t>1.根据现场情况对影响部件进行拆除</w:t>
            </w:r>
            <w:r>
              <w:rPr>
                <w:rFonts w:hint="eastAsia"/>
                <w:sz w:val="18"/>
                <w:szCs w:val="18"/>
              </w:rPr>
              <w:br w:type="textWrapping"/>
            </w:r>
            <w:r>
              <w:rPr>
                <w:rFonts w:hint="eastAsia"/>
                <w:sz w:val="18"/>
                <w:szCs w:val="18"/>
              </w:rPr>
              <w:t>2.厂内运输，放到甲方指定位置</w:t>
            </w:r>
          </w:p>
        </w:tc>
        <w:tc>
          <w:tcPr>
            <w:tcW w:w="580" w:type="dxa"/>
            <w:tcBorders>
              <w:top w:val="nil"/>
              <w:left w:val="nil"/>
              <w:bottom w:val="single" w:color="000000" w:sz="4" w:space="0"/>
              <w:right w:val="single" w:color="000000" w:sz="4" w:space="0"/>
            </w:tcBorders>
            <w:shd w:val="clear" w:color="FFFFFF" w:fill="FFFFFF"/>
            <w:noWrap w:val="0"/>
            <w:vAlign w:val="center"/>
          </w:tcPr>
          <w:p w14:paraId="62BC31D3">
            <w:pPr>
              <w:jc w:val="center"/>
              <w:rPr>
                <w:rFonts w:hint="eastAsia"/>
                <w:sz w:val="18"/>
                <w:szCs w:val="18"/>
              </w:rPr>
            </w:pPr>
            <w:r>
              <w:rPr>
                <w:rFonts w:hint="eastAsia"/>
                <w:sz w:val="18"/>
                <w:szCs w:val="18"/>
              </w:rPr>
              <w:t>t</w:t>
            </w:r>
          </w:p>
        </w:tc>
        <w:tc>
          <w:tcPr>
            <w:tcW w:w="960" w:type="dxa"/>
            <w:tcBorders>
              <w:top w:val="single" w:color="000000" w:sz="4" w:space="0"/>
              <w:left w:val="nil"/>
              <w:bottom w:val="single" w:color="000000" w:sz="4" w:space="0"/>
              <w:right w:val="single" w:color="000000" w:sz="4" w:space="0"/>
            </w:tcBorders>
            <w:shd w:val="clear" w:color="FFFFFF" w:fill="FFFFFF"/>
            <w:noWrap w:val="0"/>
            <w:vAlign w:val="center"/>
          </w:tcPr>
          <w:p w14:paraId="291EE3DA">
            <w:pPr>
              <w:jc w:val="right"/>
              <w:rPr>
                <w:rFonts w:hint="eastAsia"/>
                <w:sz w:val="18"/>
                <w:szCs w:val="18"/>
              </w:rPr>
            </w:pPr>
            <w:r>
              <w:rPr>
                <w:rFonts w:hint="eastAsia"/>
                <w:sz w:val="18"/>
                <w:szCs w:val="18"/>
              </w:rPr>
              <w:t>5</w:t>
            </w:r>
          </w:p>
        </w:tc>
        <w:tc>
          <w:tcPr>
            <w:tcW w:w="36" w:type="dxa"/>
            <w:noWrap w:val="0"/>
            <w:vAlign w:val="center"/>
          </w:tcPr>
          <w:p w14:paraId="28C39402">
            <w:pPr>
              <w:rPr>
                <w:rFonts w:ascii="Times New Roman" w:hAnsi="Times New Roman" w:eastAsia="Times New Roman" w:cs="Times New Roman"/>
                <w:sz w:val="20"/>
                <w:szCs w:val="20"/>
              </w:rPr>
            </w:pPr>
          </w:p>
        </w:tc>
      </w:tr>
    </w:tbl>
    <w:p w14:paraId="3A571F95">
      <w:pPr>
        <w:widowControl w:val="0"/>
        <w:adjustRightInd w:val="0"/>
        <w:snapToGrid w:val="0"/>
        <w:jc w:val="both"/>
        <w:rPr>
          <w:rFonts w:ascii="仿宋_GB2312" w:hAnsi="等线" w:eastAsia="仿宋_GB2312" w:cs="Times New Roman"/>
          <w:kern w:val="2"/>
        </w:rPr>
      </w:pPr>
    </w:p>
    <w:p w14:paraId="0249B6F5">
      <w:pPr>
        <w:widowControl w:val="0"/>
        <w:adjustRightInd w:val="0"/>
        <w:snapToGrid w:val="0"/>
        <w:jc w:val="both"/>
        <w:rPr>
          <w:rFonts w:ascii="仿宋_GB2312" w:hAnsi="等线" w:eastAsia="仿宋_GB2312" w:cs="Times New Roman"/>
          <w:kern w:val="2"/>
        </w:rPr>
      </w:pPr>
      <w:r>
        <w:rPr>
          <w:rFonts w:hint="eastAsia" w:ascii="仿宋_GB2312" w:hAnsi="等线" w:eastAsia="仿宋_GB2312" w:cs="Times New Roman"/>
          <w:kern w:val="2"/>
        </w:rPr>
        <w:t>投标人负责按照工程量清单完成机制砂产线的设备安装工作，并进行调试，保证满足招标方工艺要求。</w:t>
      </w:r>
    </w:p>
    <w:p w14:paraId="28094A51">
      <w:pPr>
        <w:widowControl w:val="0"/>
        <w:adjustRightInd w:val="0"/>
        <w:snapToGrid w:val="0"/>
        <w:ind w:firstLine="480" w:firstLineChars="200"/>
        <w:rPr>
          <w:rFonts w:hint="eastAsia" w:ascii="仿宋_GB2312" w:eastAsia="仿宋_GB2312"/>
        </w:rPr>
      </w:pPr>
      <w:r>
        <w:rPr>
          <w:rFonts w:hint="eastAsia" w:ascii="仿宋_GB2312" w:eastAsia="仿宋_GB2312" w:cs="Times New Roman"/>
          <w:kern w:val="2"/>
          <w:lang w:val="zh-CN"/>
        </w:rPr>
        <w:t>施工地点：</w:t>
      </w:r>
      <w:r>
        <w:rPr>
          <w:rFonts w:hint="eastAsia" w:ascii="仿宋_GB2312" w:eastAsia="仿宋_GB2312"/>
        </w:rPr>
        <w:t>山东省济南市章丘区埠村街道济南鲍德冶金石灰石有限公司翟家庄矿区。</w:t>
      </w:r>
    </w:p>
    <w:p w14:paraId="56799DB6">
      <w:pPr>
        <w:pStyle w:val="2"/>
        <w:adjustRightInd w:val="0"/>
        <w:snapToGrid w:val="0"/>
        <w:spacing w:after="0"/>
        <w:ind w:left="0" w:leftChars="0" w:firstLine="480"/>
        <w:rPr>
          <w:rFonts w:hint="eastAsia" w:ascii="仿宋_GB2312" w:eastAsia="仿宋_GB2312"/>
        </w:rPr>
      </w:pPr>
      <w:r>
        <w:rPr>
          <w:rFonts w:hint="eastAsia" w:ascii="仿宋_GB2312" w:eastAsia="仿宋_GB2312"/>
        </w:rPr>
        <w:t>施工期限：45日历天</w:t>
      </w:r>
    </w:p>
    <w:p w14:paraId="157CBAE3">
      <w:pPr>
        <w:pStyle w:val="2"/>
        <w:adjustRightInd w:val="0"/>
        <w:snapToGrid w:val="0"/>
        <w:spacing w:after="0"/>
        <w:ind w:left="0" w:leftChars="0" w:firstLine="480"/>
        <w:rPr>
          <w:rFonts w:hint="eastAsia" w:ascii="仿宋_GB2312" w:eastAsia="仿宋_GB2312"/>
        </w:rPr>
      </w:pPr>
      <w:r>
        <w:rPr>
          <w:rFonts w:hint="eastAsia" w:ascii="仿宋_GB2312" w:eastAsia="仿宋_GB2312"/>
        </w:rPr>
        <w:t>质保期：整体质保期12个月。</w:t>
      </w:r>
    </w:p>
    <w:p w14:paraId="41B35D8D">
      <w:pPr>
        <w:pStyle w:val="2"/>
        <w:adjustRightInd w:val="0"/>
        <w:snapToGrid w:val="0"/>
        <w:spacing w:after="0"/>
        <w:ind w:left="0" w:leftChars="0" w:firstLine="480"/>
        <w:rPr>
          <w:rFonts w:hint="eastAsia" w:ascii="仿宋_GB2312" w:eastAsia="仿宋_GB2312"/>
        </w:rPr>
      </w:pPr>
      <w:r>
        <w:rPr>
          <w:rFonts w:hint="eastAsia" w:ascii="仿宋_GB2312" w:eastAsia="仿宋_GB2312"/>
        </w:rPr>
        <w:t>付款方式及进度：买方付款方式为承兑或现汇付款，设备安装调试运行正常，验收合格后，卖方依据工程审计审定的结算额开具合格发票，买方挂账后支付合同总额的95%，剩余合同总额的5%做为质保金，质保期满无质量问题，卖方提交最终验收手续并经买方审核无误后支付设备质保金（如有问题，应扣除相应部分），质保金一年。</w:t>
      </w:r>
    </w:p>
    <w:p w14:paraId="20322699">
      <w:pPr>
        <w:pStyle w:val="2"/>
        <w:spacing w:after="0" w:line="360" w:lineRule="auto"/>
        <w:ind w:left="0" w:leftChars="0" w:firstLine="0" w:firstLineChars="0"/>
        <w:jc w:val="left"/>
        <w:rPr>
          <w:rFonts w:hint="eastAsia"/>
          <w:b/>
          <w:bCs/>
          <w:kern w:val="2"/>
          <w:szCs w:val="22"/>
        </w:rPr>
      </w:pPr>
      <w:r>
        <w:rPr>
          <w:b/>
          <w:bCs/>
          <w:kern w:val="2"/>
          <w:szCs w:val="22"/>
        </w:rPr>
        <w:t>四、</w:t>
      </w:r>
      <w:r>
        <w:rPr>
          <w:rFonts w:hint="eastAsia"/>
          <w:b/>
          <w:bCs/>
          <w:kern w:val="2"/>
          <w:szCs w:val="22"/>
        </w:rPr>
        <w:t>投标人</w:t>
      </w:r>
      <w:r>
        <w:rPr>
          <w:b/>
          <w:bCs/>
          <w:kern w:val="2"/>
          <w:szCs w:val="22"/>
        </w:rPr>
        <w:t>资格要求</w:t>
      </w:r>
    </w:p>
    <w:p w14:paraId="177FA430">
      <w:pPr>
        <w:widowControl w:val="0"/>
        <w:spacing w:line="360" w:lineRule="auto"/>
        <w:ind w:firstLine="480" w:firstLineChars="200"/>
        <w:rPr>
          <w:rFonts w:hint="eastAsia"/>
        </w:rPr>
      </w:pPr>
      <w:r>
        <w:t>1.投标人在中国境内注册，具有营业执照、具有独立法人资格</w:t>
      </w:r>
      <w:r>
        <w:rPr>
          <w:rFonts w:hint="eastAsia"/>
        </w:rPr>
        <w:t>；</w:t>
      </w:r>
    </w:p>
    <w:p w14:paraId="5EAC3466">
      <w:pPr>
        <w:spacing w:line="398" w:lineRule="auto"/>
        <w:ind w:firstLine="480" w:firstLineChars="200"/>
      </w:pPr>
      <w:r>
        <w:rPr>
          <w:rFonts w:hint="eastAsia"/>
        </w:rPr>
        <w:t>2.具有机电工程施工总承包资质；具有相应工种的特种作业人员。</w:t>
      </w:r>
    </w:p>
    <w:p w14:paraId="0ADFCA70">
      <w:pPr>
        <w:spacing w:line="398" w:lineRule="auto"/>
        <w:ind w:firstLine="480" w:firstLineChars="200"/>
      </w:pPr>
      <w:r>
        <w:rPr>
          <w:rFonts w:hint="eastAsia"/>
        </w:rPr>
        <w:t>3.投标人近</w:t>
      </w:r>
      <w:r>
        <w:t>3</w:t>
      </w:r>
      <w:r>
        <w:rPr>
          <w:rFonts w:hint="eastAsia"/>
        </w:rPr>
        <w:t>年（202</w:t>
      </w:r>
      <w:r>
        <w:t>2</w:t>
      </w:r>
      <w:r>
        <w:rPr>
          <w:rFonts w:hint="eastAsia"/>
        </w:rPr>
        <w:t>年01月01日-至今）设备安装业绩不少于3项。</w:t>
      </w:r>
    </w:p>
    <w:p w14:paraId="3B228663">
      <w:pPr>
        <w:pStyle w:val="2"/>
        <w:ind w:left="0" w:leftChars="0" w:firstLine="480"/>
        <w:rPr>
          <w:rFonts w:hint="eastAsia"/>
        </w:rPr>
      </w:pPr>
      <w:r>
        <w:rPr>
          <w:rFonts w:hint="eastAsia" w:ascii="宋体" w:hAnsi="宋体"/>
        </w:rPr>
        <w:t xml:space="preserve">4.投标人具有履行合同必需的专业技术、资质能力及质量管理体系认证，提供有效期之内的证书。 </w:t>
      </w:r>
    </w:p>
    <w:p w14:paraId="5D5E57A8">
      <w:pPr>
        <w:widowControl w:val="0"/>
        <w:spacing w:line="360" w:lineRule="auto"/>
        <w:ind w:firstLine="480" w:firstLineChars="200"/>
        <w:rPr>
          <w:rFonts w:cs="Times New Roman"/>
          <w:kern w:val="2"/>
          <w:szCs w:val="22"/>
        </w:rPr>
      </w:pPr>
      <w:r>
        <w:rPr>
          <w:rFonts w:hint="eastAsia" w:cs="Times New Roman"/>
          <w:kern w:val="2"/>
          <w:szCs w:val="22"/>
        </w:rPr>
        <w:t>5.</w:t>
      </w:r>
      <w:r>
        <w:rPr>
          <w:rFonts w:cs="Times New Roman"/>
          <w:kern w:val="2"/>
          <w:szCs w:val="22"/>
        </w:rPr>
        <w:t>具有良好的企业信誉和健全的财务会计制度；</w:t>
      </w:r>
    </w:p>
    <w:p w14:paraId="01AF1278">
      <w:pPr>
        <w:widowControl w:val="0"/>
        <w:spacing w:line="360" w:lineRule="auto"/>
        <w:ind w:firstLine="480" w:firstLineChars="200"/>
        <w:rPr>
          <w:rFonts w:cs="Times New Roman"/>
          <w:kern w:val="2"/>
          <w:szCs w:val="22"/>
        </w:rPr>
      </w:pPr>
      <w:r>
        <w:rPr>
          <w:rFonts w:hint="eastAsia" w:cs="Times New Roman"/>
          <w:kern w:val="2"/>
          <w:szCs w:val="22"/>
        </w:rPr>
        <w:t>6.</w:t>
      </w:r>
      <w:r>
        <w:rPr>
          <w:rFonts w:cs="Times New Roman"/>
          <w:kern w:val="2"/>
          <w:szCs w:val="22"/>
        </w:rPr>
        <w:t>具有履行合同必需的设备、专业技术、资质能力；</w:t>
      </w:r>
    </w:p>
    <w:p w14:paraId="4AD17DB9">
      <w:pPr>
        <w:widowControl w:val="0"/>
        <w:spacing w:line="360" w:lineRule="auto"/>
        <w:ind w:firstLine="480" w:firstLineChars="200"/>
        <w:rPr>
          <w:rFonts w:cs="Times New Roman"/>
          <w:kern w:val="2"/>
          <w:szCs w:val="22"/>
        </w:rPr>
      </w:pPr>
      <w:r>
        <w:rPr>
          <w:rFonts w:hint="eastAsia" w:cs="Times New Roman"/>
          <w:kern w:val="2"/>
          <w:szCs w:val="22"/>
        </w:rPr>
        <w:t>7.</w:t>
      </w:r>
      <w:r>
        <w:rPr>
          <w:rFonts w:cs="Times New Roman"/>
          <w:kern w:val="2"/>
          <w:szCs w:val="22"/>
        </w:rPr>
        <w:t>有依法缴纳税收和社会保障金的良好纪录；</w:t>
      </w:r>
    </w:p>
    <w:p w14:paraId="62C90164">
      <w:pPr>
        <w:spacing w:line="360" w:lineRule="auto"/>
        <w:ind w:firstLine="480" w:firstLineChars="200"/>
      </w:pPr>
      <w:r>
        <w:rPr>
          <w:rFonts w:hint="eastAsia"/>
        </w:rPr>
        <w:t>8.投标人须遵守中华人民共和国有关法律、法规，无重大违法违约行为。“通过“信用中国”网站（www.creditchina.gov.cn）、中国政府招标网（www.ccgp.gov.cn）查询，未被列入失信被执行人、重大税收违法案件当事人、政府招标严重违法失信行为记录名单”，提供查询截屏。</w:t>
      </w:r>
    </w:p>
    <w:p w14:paraId="6A1BB10E">
      <w:pPr>
        <w:widowControl w:val="0"/>
        <w:spacing w:line="360" w:lineRule="auto"/>
        <w:ind w:firstLine="480" w:firstLineChars="200"/>
        <w:rPr>
          <w:rFonts w:cs="Times New Roman"/>
          <w:kern w:val="2"/>
          <w:szCs w:val="22"/>
        </w:rPr>
      </w:pPr>
      <w:r>
        <w:rPr>
          <w:rFonts w:hint="eastAsia" w:cs="Times New Roman"/>
          <w:kern w:val="2"/>
          <w:szCs w:val="22"/>
        </w:rPr>
        <w:t>9.</w:t>
      </w:r>
      <w:r>
        <w:rPr>
          <w:rFonts w:cs="Times New Roman"/>
          <w:kern w:val="2"/>
          <w:szCs w:val="22"/>
        </w:rPr>
        <w:t>如有单位资料造假，一经发现，立即在网上公示，并永久取消</w:t>
      </w:r>
      <w:r>
        <w:rPr>
          <w:rFonts w:hint="eastAsia" w:cs="Times New Roman"/>
          <w:kern w:val="2"/>
          <w:szCs w:val="22"/>
        </w:rPr>
        <w:t>投标</w:t>
      </w:r>
      <w:r>
        <w:rPr>
          <w:rFonts w:cs="Times New Roman"/>
          <w:kern w:val="2"/>
          <w:szCs w:val="22"/>
        </w:rPr>
        <w:t>资格。</w:t>
      </w:r>
    </w:p>
    <w:p w14:paraId="503D93B6">
      <w:pPr>
        <w:spacing w:line="360" w:lineRule="auto"/>
        <w:rPr>
          <w:rFonts w:hint="eastAsia"/>
          <w:b/>
          <w:bCs/>
        </w:rPr>
      </w:pPr>
      <w:r>
        <w:rPr>
          <w:rFonts w:hint="eastAsia" w:cs="Times New Roman"/>
          <w:b/>
          <w:bCs/>
          <w:kern w:val="2"/>
          <w:szCs w:val="22"/>
        </w:rPr>
        <w:t>五、</w:t>
      </w:r>
      <w:r>
        <w:rPr>
          <w:rFonts w:hint="eastAsia"/>
          <w:b/>
          <w:bCs/>
        </w:rPr>
        <w:t>公告和报名</w:t>
      </w:r>
    </w:p>
    <w:p w14:paraId="170E4D1A">
      <w:pPr>
        <w:spacing w:line="360" w:lineRule="auto"/>
        <w:ind w:firstLine="480" w:firstLineChars="200"/>
        <w:rPr>
          <w:rFonts w:hint="eastAsia"/>
        </w:rPr>
      </w:pPr>
      <w:r>
        <w:rPr>
          <w:rFonts w:hint="eastAsia"/>
        </w:rPr>
        <w:t>1、报名方式：通过登录济钢集团有限公司阳光购销平台网上报名(</w:t>
      </w:r>
      <w:r>
        <w:rPr>
          <w:rFonts w:hint="eastAsia"/>
          <w:lang w:val="zh-CN"/>
        </w:rPr>
        <w:t>不接受线下报名</w:t>
      </w:r>
      <w:r>
        <w:rPr>
          <w:rFonts w:hint="eastAsia"/>
        </w:rPr>
        <w:t>)，平台网址：</w:t>
      </w:r>
      <w:r>
        <w:rPr>
          <w:rFonts w:hint="eastAsia"/>
        </w:rPr>
        <w:fldChar w:fldCharType="begin"/>
      </w:r>
      <w:r>
        <w:rPr>
          <w:rFonts w:hint="eastAsia"/>
        </w:rPr>
        <w:instrText xml:space="preserve"> HYPERLINK "http://bidding.jigang.com.cn" </w:instrText>
      </w:r>
      <w:r>
        <w:rPr>
          <w:rFonts w:hint="eastAsia"/>
        </w:rPr>
        <w:fldChar w:fldCharType="separate"/>
      </w:r>
      <w:r>
        <w:rPr>
          <w:rFonts w:hint="eastAsia"/>
        </w:rPr>
        <w:t>http://bidding.jigang.com.cn</w:t>
      </w:r>
      <w:r>
        <w:rPr>
          <w:rFonts w:hint="eastAsia"/>
        </w:rPr>
        <w:fldChar w:fldCharType="end"/>
      </w:r>
      <w:r>
        <w:rPr>
          <w:rFonts w:hint="eastAsia"/>
        </w:rPr>
        <w:t xml:space="preserve">/； </w:t>
      </w:r>
    </w:p>
    <w:p w14:paraId="4687731D">
      <w:pPr>
        <w:spacing w:line="360" w:lineRule="auto"/>
        <w:ind w:firstLine="480" w:firstLineChars="200"/>
        <w:rPr>
          <w:rFonts w:hint="eastAsia"/>
        </w:rPr>
      </w:pPr>
      <w:r>
        <w:rPr>
          <w:rFonts w:hint="eastAsia"/>
        </w:rPr>
        <w:t>2、公告和报名时间：2025年3月</w:t>
      </w:r>
      <w:r>
        <w:rPr>
          <w:rFonts w:hint="eastAsia"/>
          <w:lang w:val="en-US" w:eastAsia="zh-CN"/>
        </w:rPr>
        <w:t>4</w:t>
      </w:r>
      <w:r>
        <w:rPr>
          <w:rFonts w:hint="eastAsia"/>
        </w:rPr>
        <w:t>日～2025年3月</w:t>
      </w:r>
      <w:r>
        <w:rPr>
          <w:rFonts w:hint="eastAsia"/>
          <w:lang w:val="en-US" w:eastAsia="zh-CN"/>
        </w:rPr>
        <w:t>6</w:t>
      </w:r>
      <w:r>
        <w:rPr>
          <w:rFonts w:hint="eastAsia"/>
        </w:rPr>
        <w:t>日（北京时间）。</w:t>
      </w:r>
    </w:p>
    <w:p w14:paraId="18F684FC">
      <w:pPr>
        <w:widowControl w:val="0"/>
        <w:spacing w:line="360" w:lineRule="auto"/>
        <w:rPr>
          <w:rFonts w:cs="Times New Roman"/>
          <w:b/>
          <w:bCs/>
          <w:kern w:val="2"/>
          <w:szCs w:val="22"/>
        </w:rPr>
      </w:pPr>
      <w:r>
        <w:rPr>
          <w:rFonts w:hint="eastAsia" w:cs="Times New Roman"/>
          <w:b/>
          <w:bCs/>
          <w:kern w:val="2"/>
          <w:szCs w:val="22"/>
        </w:rPr>
        <w:t>六</w:t>
      </w:r>
      <w:r>
        <w:rPr>
          <w:rFonts w:cs="Times New Roman"/>
          <w:b/>
          <w:bCs/>
          <w:kern w:val="2"/>
          <w:szCs w:val="22"/>
        </w:rPr>
        <w:t>、</w:t>
      </w:r>
      <w:r>
        <w:rPr>
          <w:rFonts w:hint="eastAsia" w:cs="Times New Roman"/>
          <w:b/>
          <w:bCs/>
          <w:kern w:val="2"/>
          <w:szCs w:val="22"/>
        </w:rPr>
        <w:t>开标时间和方式</w:t>
      </w:r>
    </w:p>
    <w:p w14:paraId="3D8BF694">
      <w:pPr>
        <w:widowControl w:val="0"/>
        <w:spacing w:line="360" w:lineRule="auto"/>
        <w:ind w:firstLine="480" w:firstLineChars="200"/>
        <w:rPr>
          <w:rFonts w:hint="eastAsia"/>
        </w:rPr>
      </w:pPr>
      <w:r>
        <w:rPr>
          <w:rFonts w:cs="Times New Roman"/>
          <w:kern w:val="2"/>
          <w:szCs w:val="22"/>
        </w:rPr>
        <w:t>1、</w:t>
      </w:r>
      <w:r>
        <w:rPr>
          <w:rFonts w:hint="eastAsia" w:cs="Times New Roman"/>
          <w:kern w:val="2"/>
          <w:szCs w:val="22"/>
        </w:rPr>
        <w:t>开标</w:t>
      </w:r>
      <w:r>
        <w:rPr>
          <w:rFonts w:cs="Times New Roman"/>
          <w:kern w:val="2"/>
          <w:szCs w:val="22"/>
        </w:rPr>
        <w:t>时间</w:t>
      </w:r>
      <w:r>
        <w:rPr>
          <w:rFonts w:hint="eastAsia"/>
        </w:rPr>
        <w:t>：2025年3月</w:t>
      </w:r>
      <w:r>
        <w:rPr>
          <w:rFonts w:hint="eastAsia"/>
          <w:lang w:val="en-US" w:eastAsia="zh-CN"/>
        </w:rPr>
        <w:t>7</w:t>
      </w:r>
      <w:r>
        <w:rPr>
          <w:rFonts w:hint="eastAsia"/>
        </w:rPr>
        <w:t>日下午</w:t>
      </w:r>
      <w:r>
        <w:rPr>
          <w:rFonts w:hint="eastAsia"/>
          <w:lang w:val="en-US" w:eastAsia="zh-CN"/>
        </w:rPr>
        <w:t>9</w:t>
      </w:r>
      <w:r>
        <w:rPr>
          <w:rFonts w:hint="eastAsia"/>
        </w:rPr>
        <w:t>点；</w:t>
      </w:r>
    </w:p>
    <w:p w14:paraId="7EA67ADE">
      <w:pPr>
        <w:widowControl w:val="0"/>
        <w:spacing w:line="360" w:lineRule="auto"/>
        <w:ind w:firstLine="480" w:firstLineChars="200"/>
        <w:rPr>
          <w:rFonts w:cs="Times New Roman"/>
          <w:kern w:val="2"/>
          <w:szCs w:val="22"/>
        </w:rPr>
      </w:pPr>
      <w:r>
        <w:rPr>
          <w:rFonts w:cs="Times New Roman"/>
          <w:kern w:val="2"/>
          <w:szCs w:val="22"/>
        </w:rPr>
        <w:t>2、</w:t>
      </w:r>
      <w:r>
        <w:rPr>
          <w:rFonts w:hint="eastAsia"/>
        </w:rPr>
        <w:t>开标方式：现场开标，开标地点：济南市再章丘区埠村街道济南鲍德冶金石灰石有限公司一楼会议室。</w:t>
      </w:r>
    </w:p>
    <w:p w14:paraId="570A696A">
      <w:pPr>
        <w:spacing w:line="360" w:lineRule="auto"/>
        <w:rPr>
          <w:rFonts w:hint="eastAsia" w:cs="Times New Roman"/>
          <w:b/>
          <w:bCs/>
          <w:kern w:val="2"/>
          <w:szCs w:val="22"/>
        </w:rPr>
      </w:pPr>
      <w:r>
        <w:rPr>
          <w:rFonts w:hint="eastAsia"/>
          <w:b/>
          <w:bCs/>
        </w:rPr>
        <w:t xml:space="preserve"> </w:t>
      </w:r>
      <w:r>
        <w:rPr>
          <w:rFonts w:hint="eastAsia" w:cs="Times New Roman"/>
          <w:b/>
          <w:bCs/>
          <w:kern w:val="2"/>
          <w:szCs w:val="22"/>
        </w:rPr>
        <w:t>七</w:t>
      </w:r>
      <w:r>
        <w:rPr>
          <w:rFonts w:cs="Times New Roman"/>
          <w:b/>
          <w:bCs/>
          <w:kern w:val="2"/>
          <w:szCs w:val="22"/>
        </w:rPr>
        <w:t>、</w:t>
      </w:r>
      <w:r>
        <w:rPr>
          <w:rFonts w:hint="eastAsia" w:cs="Times New Roman"/>
          <w:b/>
          <w:bCs/>
          <w:kern w:val="2"/>
          <w:szCs w:val="22"/>
        </w:rPr>
        <w:t>投标</w:t>
      </w:r>
      <w:r>
        <w:rPr>
          <w:rFonts w:cs="Times New Roman"/>
          <w:b/>
          <w:bCs/>
          <w:kern w:val="2"/>
          <w:szCs w:val="22"/>
        </w:rPr>
        <w:t>保证金：</w:t>
      </w:r>
      <w:r>
        <w:rPr>
          <w:rFonts w:hint="eastAsia" w:cs="Times New Roman"/>
          <w:b/>
          <w:bCs/>
          <w:kern w:val="2"/>
          <w:szCs w:val="22"/>
        </w:rPr>
        <w:t>1000</w:t>
      </w:r>
      <w:r>
        <w:rPr>
          <w:rFonts w:cs="Times New Roman"/>
          <w:b/>
          <w:bCs/>
          <w:kern w:val="2"/>
          <w:szCs w:val="22"/>
        </w:rPr>
        <w:t>元</w:t>
      </w:r>
    </w:p>
    <w:p w14:paraId="013B19EA">
      <w:pPr>
        <w:spacing w:line="360" w:lineRule="auto"/>
        <w:ind w:firstLine="480" w:firstLineChars="200"/>
        <w:rPr>
          <w:rFonts w:cs="Times New Roman"/>
          <w:kern w:val="2"/>
          <w:szCs w:val="22"/>
        </w:rPr>
      </w:pPr>
      <w:r>
        <w:rPr>
          <w:rFonts w:cs="Times New Roman"/>
          <w:kern w:val="2"/>
          <w:szCs w:val="22"/>
        </w:rPr>
        <w:t>1.投标保证金：人民币</w:t>
      </w:r>
      <w:r>
        <w:rPr>
          <w:rFonts w:hint="eastAsia" w:cs="Times New Roman"/>
          <w:kern w:val="2"/>
          <w:szCs w:val="22"/>
        </w:rPr>
        <w:t>1000元</w:t>
      </w:r>
      <w:r>
        <w:rPr>
          <w:rFonts w:cs="Times New Roman"/>
          <w:kern w:val="2"/>
          <w:szCs w:val="22"/>
        </w:rPr>
        <w:t>整（</w:t>
      </w:r>
      <w:r>
        <w:rPr>
          <w:rFonts w:hint="eastAsia" w:cs="Times New Roman"/>
          <w:kern w:val="2"/>
          <w:szCs w:val="22"/>
        </w:rPr>
        <w:t>大</w:t>
      </w:r>
      <w:r>
        <w:rPr>
          <w:rFonts w:cs="Times New Roman"/>
          <w:kern w:val="2"/>
          <w:szCs w:val="22"/>
        </w:rPr>
        <w:t>写</w:t>
      </w:r>
      <w:r>
        <w:rPr>
          <w:rFonts w:hint="eastAsia" w:cs="Times New Roman"/>
          <w:kern w:val="2"/>
          <w:szCs w:val="22"/>
        </w:rPr>
        <w:t>：壹仟</w:t>
      </w:r>
      <w:r>
        <w:rPr>
          <w:rFonts w:cs="Times New Roman"/>
          <w:kern w:val="2"/>
          <w:szCs w:val="22"/>
        </w:rPr>
        <w:t>元）。投标保证金最后缴纳时间为202</w:t>
      </w:r>
      <w:r>
        <w:rPr>
          <w:rFonts w:hint="eastAsia" w:cs="Times New Roman"/>
          <w:kern w:val="2"/>
          <w:szCs w:val="22"/>
        </w:rPr>
        <w:t>5</w:t>
      </w:r>
      <w:r>
        <w:rPr>
          <w:rFonts w:cs="Times New Roman"/>
          <w:kern w:val="2"/>
          <w:szCs w:val="22"/>
        </w:rPr>
        <w:t>年</w:t>
      </w:r>
      <w:r>
        <w:rPr>
          <w:rFonts w:hint="eastAsia" w:cs="Times New Roman"/>
          <w:kern w:val="2"/>
          <w:szCs w:val="22"/>
        </w:rPr>
        <w:t>3</w:t>
      </w:r>
      <w:r>
        <w:rPr>
          <w:rFonts w:cs="Times New Roman"/>
          <w:kern w:val="2"/>
          <w:szCs w:val="22"/>
        </w:rPr>
        <w:t>月</w:t>
      </w:r>
      <w:r>
        <w:rPr>
          <w:rFonts w:hint="eastAsia" w:cs="Times New Roman"/>
          <w:kern w:val="2"/>
          <w:szCs w:val="22"/>
          <w:lang w:val="en-US" w:eastAsia="zh-CN"/>
        </w:rPr>
        <w:t>6</w:t>
      </w:r>
      <w:r>
        <w:rPr>
          <w:rFonts w:cs="Times New Roman"/>
          <w:kern w:val="2"/>
          <w:szCs w:val="22"/>
        </w:rPr>
        <w:t>日</w:t>
      </w:r>
      <w:r>
        <w:rPr>
          <w:rFonts w:hint="eastAsia" w:cs="Times New Roman"/>
          <w:kern w:val="2"/>
          <w:szCs w:val="22"/>
          <w:lang w:val="en-US" w:eastAsia="zh-CN"/>
        </w:rPr>
        <w:t>下班</w:t>
      </w:r>
      <w:r>
        <w:rPr>
          <w:rFonts w:cs="Times New Roman"/>
          <w:kern w:val="2"/>
          <w:szCs w:val="22"/>
        </w:rPr>
        <w:t>17：00之前（北京时间）。逾期缴纳的，投标将被拒绝。</w:t>
      </w:r>
    </w:p>
    <w:p w14:paraId="7F67A3E6">
      <w:pPr>
        <w:spacing w:line="360" w:lineRule="auto"/>
        <w:rPr>
          <w:rFonts w:cs="Times New Roman"/>
          <w:kern w:val="2"/>
          <w:szCs w:val="22"/>
        </w:rPr>
      </w:pPr>
      <w:r>
        <w:rPr>
          <w:rFonts w:cs="Times New Roman"/>
          <w:kern w:val="2"/>
          <w:szCs w:val="22"/>
        </w:rPr>
        <w:t xml:space="preserve">  </w:t>
      </w:r>
      <w:r>
        <w:rPr>
          <w:rFonts w:hint="eastAsia" w:cs="Times New Roman"/>
          <w:kern w:val="2"/>
          <w:szCs w:val="22"/>
        </w:rPr>
        <w:t xml:space="preserve">  </w:t>
      </w:r>
      <w:r>
        <w:rPr>
          <w:rFonts w:cs="Times New Roman"/>
          <w:kern w:val="2"/>
          <w:szCs w:val="22"/>
        </w:rPr>
        <w:t>2</w:t>
      </w:r>
      <w:r>
        <w:rPr>
          <w:rFonts w:hint="eastAsia" w:cs="Times New Roman"/>
          <w:kern w:val="2"/>
          <w:szCs w:val="22"/>
        </w:rPr>
        <w:t>.</w:t>
      </w:r>
      <w:r>
        <w:rPr>
          <w:rFonts w:cs="Times New Roman"/>
          <w:kern w:val="2"/>
          <w:szCs w:val="22"/>
        </w:rPr>
        <w:t>投标保证金应从投标人银行基本账户内转出或汇出，为方便退还不出具收据。交款注明招标编号、招标项目名称及款项性质（投标保证金）。并将回单及时上传至系统内同时以微信方式转发到15098838165微信上。</w:t>
      </w:r>
    </w:p>
    <w:p w14:paraId="3FB2CB25">
      <w:pPr>
        <w:spacing w:line="360" w:lineRule="auto"/>
        <w:ind w:firstLine="480" w:firstLineChars="200"/>
        <w:rPr>
          <w:rFonts w:cs="Times New Roman"/>
          <w:kern w:val="2"/>
          <w:szCs w:val="22"/>
        </w:rPr>
      </w:pPr>
      <w:r>
        <w:rPr>
          <w:rFonts w:cs="Times New Roman"/>
          <w:kern w:val="2"/>
          <w:szCs w:val="22"/>
        </w:rPr>
        <w:t xml:space="preserve"> 3</w:t>
      </w:r>
      <w:r>
        <w:rPr>
          <w:rFonts w:hint="eastAsia" w:cs="Times New Roman"/>
          <w:kern w:val="2"/>
          <w:szCs w:val="22"/>
        </w:rPr>
        <w:t>.</w:t>
      </w:r>
      <w:r>
        <w:rPr>
          <w:rFonts w:cs="Times New Roman"/>
          <w:kern w:val="2"/>
          <w:szCs w:val="22"/>
        </w:rPr>
        <w:t>缴纳投标保证金账户信息：</w:t>
      </w:r>
    </w:p>
    <w:p w14:paraId="51E2E5BC">
      <w:pPr>
        <w:spacing w:line="360" w:lineRule="auto"/>
        <w:rPr>
          <w:rFonts w:cs="Times New Roman"/>
          <w:kern w:val="2"/>
          <w:szCs w:val="22"/>
        </w:rPr>
      </w:pPr>
      <w:r>
        <w:rPr>
          <w:rFonts w:hint="eastAsia" w:cs="Times New Roman"/>
          <w:kern w:val="2"/>
          <w:szCs w:val="22"/>
        </w:rPr>
        <w:t>名</w:t>
      </w:r>
      <w:r>
        <w:rPr>
          <w:rFonts w:cs="Times New Roman"/>
          <w:kern w:val="2"/>
          <w:szCs w:val="22"/>
        </w:rPr>
        <w:t xml:space="preserve">  称：济南鲍德冶金石灰石有限公司</w:t>
      </w:r>
    </w:p>
    <w:p w14:paraId="05ED4184">
      <w:pPr>
        <w:spacing w:line="360" w:lineRule="auto"/>
        <w:rPr>
          <w:rFonts w:cs="Times New Roman"/>
          <w:kern w:val="2"/>
          <w:szCs w:val="22"/>
        </w:rPr>
      </w:pPr>
      <w:r>
        <w:rPr>
          <w:rFonts w:hint="eastAsia" w:cs="Times New Roman"/>
          <w:kern w:val="2"/>
          <w:szCs w:val="22"/>
        </w:rPr>
        <w:t>开户行：中国农业银行股份有限公司济南埠村支行</w:t>
      </w:r>
    </w:p>
    <w:p w14:paraId="083F6CE8">
      <w:pPr>
        <w:spacing w:line="360" w:lineRule="auto"/>
        <w:rPr>
          <w:rFonts w:cs="Times New Roman"/>
          <w:kern w:val="2"/>
          <w:szCs w:val="22"/>
        </w:rPr>
      </w:pPr>
      <w:r>
        <w:rPr>
          <w:rFonts w:hint="eastAsia" w:cs="Times New Roman"/>
          <w:kern w:val="2"/>
          <w:szCs w:val="22"/>
        </w:rPr>
        <w:t>账</w:t>
      </w:r>
      <w:r>
        <w:rPr>
          <w:rFonts w:cs="Times New Roman"/>
          <w:kern w:val="2"/>
          <w:szCs w:val="22"/>
        </w:rPr>
        <w:t xml:space="preserve">  号：15137301040002766</w:t>
      </w:r>
    </w:p>
    <w:p w14:paraId="60BA0A92">
      <w:pPr>
        <w:spacing w:line="360" w:lineRule="auto"/>
        <w:rPr>
          <w:rFonts w:cs="Times New Roman"/>
          <w:kern w:val="2"/>
          <w:szCs w:val="22"/>
        </w:rPr>
      </w:pPr>
      <w:r>
        <w:rPr>
          <w:rFonts w:hint="eastAsia" w:cs="Times New Roman"/>
          <w:kern w:val="2"/>
          <w:szCs w:val="22"/>
        </w:rPr>
        <w:t>开户行行号：</w:t>
      </w:r>
      <w:r>
        <w:rPr>
          <w:rFonts w:cs="Times New Roman"/>
          <w:kern w:val="2"/>
          <w:szCs w:val="22"/>
        </w:rPr>
        <w:t>103451013739</w:t>
      </w:r>
    </w:p>
    <w:p w14:paraId="56D7981A">
      <w:pPr>
        <w:spacing w:line="360" w:lineRule="auto"/>
        <w:rPr>
          <w:rFonts w:cs="Times New Roman"/>
          <w:kern w:val="2"/>
          <w:szCs w:val="22"/>
        </w:rPr>
      </w:pPr>
      <w:r>
        <w:rPr>
          <w:rFonts w:cs="Times New Roman"/>
          <w:kern w:val="2"/>
          <w:szCs w:val="22"/>
        </w:rPr>
        <w:t>4、投标保证金在合同签订后30日内原账户无息退还。</w:t>
      </w:r>
    </w:p>
    <w:p w14:paraId="43C79DD5">
      <w:pPr>
        <w:spacing w:line="360" w:lineRule="auto"/>
        <w:rPr>
          <w:rFonts w:cs="Times New Roman"/>
          <w:kern w:val="2"/>
          <w:szCs w:val="22"/>
        </w:rPr>
      </w:pPr>
      <w:r>
        <w:rPr>
          <w:rFonts w:cs="Times New Roman"/>
          <w:kern w:val="2"/>
          <w:szCs w:val="22"/>
        </w:rPr>
        <w:t xml:space="preserve">    5、在递交投标文件时，携带投标保证金交款回单，以备查验。</w:t>
      </w:r>
    </w:p>
    <w:p w14:paraId="68CAF402">
      <w:pPr>
        <w:spacing w:line="360" w:lineRule="auto"/>
        <w:rPr>
          <w:rFonts w:hint="eastAsia"/>
          <w:b/>
          <w:bCs/>
        </w:rPr>
      </w:pPr>
      <w:r>
        <w:rPr>
          <w:rFonts w:hint="eastAsia"/>
          <w:b/>
          <w:bCs/>
        </w:rPr>
        <w:t>八、招标文件的获取方式</w:t>
      </w:r>
    </w:p>
    <w:p w14:paraId="6640CDC9">
      <w:pPr>
        <w:spacing w:line="360" w:lineRule="auto"/>
        <w:ind w:firstLine="480" w:firstLineChars="200"/>
      </w:pPr>
      <w:r>
        <w:rPr>
          <w:rFonts w:hint="eastAsia"/>
        </w:rPr>
        <w:t>1、获取方式：凡有意参加本次招标的投标人，在公告期内登陆：济钢集团有限公司阳光购销平台</w:t>
      </w:r>
      <w:r>
        <w:rPr>
          <w:rFonts w:hint="eastAsia"/>
        </w:rPr>
        <w:fldChar w:fldCharType="begin"/>
      </w:r>
      <w:r>
        <w:rPr>
          <w:rFonts w:hint="eastAsia"/>
        </w:rPr>
        <w:instrText xml:space="preserve"> HYPERLINK "http://bidding.jigang.com.cn" </w:instrText>
      </w:r>
      <w:r>
        <w:rPr>
          <w:rFonts w:hint="eastAsia"/>
        </w:rPr>
        <w:fldChar w:fldCharType="separate"/>
      </w:r>
      <w:r>
        <w:rPr>
          <w:rFonts w:hint="eastAsia"/>
        </w:rPr>
        <w:t>http://bidding.jigang.com.cn</w:t>
      </w:r>
      <w:r>
        <w:rPr>
          <w:rFonts w:hint="eastAsia"/>
        </w:rPr>
        <w:fldChar w:fldCharType="end"/>
      </w:r>
      <w:r>
        <w:rPr>
          <w:rFonts w:hint="eastAsia"/>
        </w:rPr>
        <w:t>/ ，注册用户成功后，须修改初始密码，重新登录后报名，报名成功后即可下载招标文件</w:t>
      </w:r>
      <w:r>
        <w:t xml:space="preserve">； </w:t>
      </w:r>
    </w:p>
    <w:p w14:paraId="480143BB">
      <w:pPr>
        <w:spacing w:line="360" w:lineRule="auto"/>
        <w:ind w:firstLine="480" w:firstLineChars="200"/>
        <w:rPr>
          <w:rFonts w:hint="eastAsia"/>
        </w:rPr>
      </w:pPr>
      <w:r>
        <w:t>2、售价：报名时自动提示</w:t>
      </w:r>
      <w:r>
        <w:rPr>
          <w:rFonts w:hint="eastAsia"/>
        </w:rPr>
        <w:t>，随投标</w:t>
      </w:r>
      <w:r>
        <w:t>保证金一同转账</w:t>
      </w:r>
      <w:r>
        <w:rPr>
          <w:rFonts w:hint="eastAsia"/>
        </w:rPr>
        <w:t>，售后不退。</w:t>
      </w:r>
    </w:p>
    <w:p w14:paraId="3B750360">
      <w:pPr>
        <w:spacing w:line="360" w:lineRule="auto"/>
        <w:rPr>
          <w:rFonts w:hint="eastAsia"/>
          <w:b/>
          <w:bCs/>
        </w:rPr>
      </w:pPr>
      <w:r>
        <w:rPr>
          <w:rFonts w:hint="eastAsia"/>
          <w:b/>
          <w:bCs/>
        </w:rPr>
        <w:t>九、资格审查</w:t>
      </w:r>
    </w:p>
    <w:p w14:paraId="0696581E">
      <w:pPr>
        <w:spacing w:line="360" w:lineRule="auto"/>
        <w:ind w:firstLine="480" w:firstLineChars="200"/>
        <w:rPr>
          <w:rFonts w:hint="eastAsia"/>
        </w:rPr>
      </w:pPr>
      <w:r>
        <w:rPr>
          <w:rFonts w:hint="eastAsia"/>
        </w:rPr>
        <w:t>资格后审，不接受联合体。</w:t>
      </w:r>
    </w:p>
    <w:p w14:paraId="5C1C52B5">
      <w:pPr>
        <w:spacing w:line="360" w:lineRule="auto"/>
        <w:rPr>
          <w:rFonts w:hint="eastAsia"/>
          <w:b/>
          <w:bCs/>
        </w:rPr>
      </w:pPr>
      <w:r>
        <w:rPr>
          <w:rFonts w:hint="eastAsia"/>
          <w:b/>
          <w:bCs/>
        </w:rPr>
        <w:t>十、招标人的名称、地址和联系人</w:t>
      </w:r>
    </w:p>
    <w:p w14:paraId="7A3BDCC4">
      <w:pPr>
        <w:widowControl w:val="0"/>
        <w:spacing w:line="360" w:lineRule="auto"/>
      </w:pPr>
      <w:r>
        <w:t>1、招标人的名称： 济南鲍德冶金石灰石有限公司</w:t>
      </w:r>
    </w:p>
    <w:p w14:paraId="187C7254">
      <w:pPr>
        <w:widowControl w:val="0"/>
        <w:spacing w:line="360" w:lineRule="auto"/>
      </w:pPr>
      <w:r>
        <w:t>2、招标人的地址：山东省济南市章丘区埠村街道</w:t>
      </w:r>
    </w:p>
    <w:p w14:paraId="2B251A0C">
      <w:pPr>
        <w:widowControl w:val="0"/>
        <w:spacing w:line="360" w:lineRule="auto"/>
      </w:pPr>
      <w:r>
        <w:t>3、招标联系人：郑女士，联系电话：0531-83719629  15098838165。</w:t>
      </w:r>
    </w:p>
    <w:p w14:paraId="36C95938">
      <w:pPr>
        <w:widowControl w:val="0"/>
        <w:spacing w:line="360" w:lineRule="auto"/>
      </w:pPr>
      <w:r>
        <w:t>4、技术咨询人：徐先生，联系电话：0531-83719988  18866888316</w:t>
      </w:r>
      <w:r>
        <w:rPr>
          <w:rFonts w:hint="eastAsia"/>
        </w:rPr>
        <w:t>/</w:t>
      </w:r>
      <w:r>
        <w:t>13506404639。</w:t>
      </w:r>
    </w:p>
    <w:p w14:paraId="3A6F2099">
      <w:pPr>
        <w:widowControl w:val="0"/>
        <w:spacing w:line="360" w:lineRule="auto"/>
        <w:rPr>
          <w:rFonts w:cs="Times New Roman"/>
          <w:b/>
          <w:bCs/>
          <w:kern w:val="2"/>
          <w:szCs w:val="22"/>
        </w:rPr>
      </w:pPr>
      <w:r>
        <w:rPr>
          <w:rFonts w:hint="eastAsia" w:cs="Times New Roman"/>
          <w:b/>
          <w:bCs/>
          <w:kern w:val="2"/>
          <w:szCs w:val="22"/>
        </w:rPr>
        <w:t>十一</w:t>
      </w:r>
      <w:r>
        <w:rPr>
          <w:rFonts w:cs="Times New Roman"/>
          <w:b/>
          <w:bCs/>
          <w:kern w:val="2"/>
          <w:szCs w:val="22"/>
        </w:rPr>
        <w:t>、</w:t>
      </w:r>
      <w:r>
        <w:rPr>
          <w:rFonts w:hint="eastAsia" w:cs="Times New Roman"/>
          <w:b/>
          <w:bCs/>
          <w:kern w:val="2"/>
          <w:szCs w:val="22"/>
        </w:rPr>
        <w:t>安全要求</w:t>
      </w:r>
    </w:p>
    <w:p w14:paraId="0E9EADD2">
      <w:pPr>
        <w:widowControl w:val="0"/>
        <w:spacing w:line="360" w:lineRule="auto"/>
        <w:ind w:firstLine="480" w:firstLineChars="200"/>
        <w:rPr>
          <w:rFonts w:hint="eastAsia" w:cs="Times New Roman"/>
          <w:kern w:val="2"/>
          <w:szCs w:val="22"/>
        </w:rPr>
      </w:pPr>
      <w:r>
        <w:rPr>
          <w:rFonts w:hint="eastAsia" w:cs="Times New Roman"/>
          <w:kern w:val="2"/>
          <w:szCs w:val="22"/>
        </w:rPr>
        <w:t>参加投标的</w:t>
      </w:r>
      <w:r>
        <w:rPr>
          <w:rFonts w:cs="Times New Roman"/>
          <w:kern w:val="2"/>
          <w:szCs w:val="22"/>
        </w:rPr>
        <w:t>人员在济钢集团有限公司的一切活动，必须遵守济钢集团有限公司的安全规定。</w:t>
      </w:r>
      <w:r>
        <w:rPr>
          <w:rFonts w:hint="eastAsia" w:cs="Times New Roman"/>
          <w:kern w:val="2"/>
          <w:szCs w:val="22"/>
        </w:rPr>
        <w:t>需要</w:t>
      </w:r>
      <w:r>
        <w:rPr>
          <w:rFonts w:cs="Times New Roman"/>
          <w:kern w:val="2"/>
          <w:szCs w:val="22"/>
        </w:rPr>
        <w:t>现场</w:t>
      </w:r>
      <w:r>
        <w:rPr>
          <w:rFonts w:hint="eastAsia" w:cs="Times New Roman"/>
          <w:kern w:val="2"/>
          <w:szCs w:val="22"/>
        </w:rPr>
        <w:t>踏勘时，</w:t>
      </w:r>
      <w:r>
        <w:rPr>
          <w:rFonts w:cs="Times New Roman"/>
          <w:kern w:val="2"/>
          <w:szCs w:val="22"/>
        </w:rPr>
        <w:t>必须遵守安全管理规定，服从现场</w:t>
      </w:r>
      <w:r>
        <w:rPr>
          <w:rFonts w:hint="eastAsia" w:cs="Times New Roman"/>
          <w:kern w:val="2"/>
          <w:szCs w:val="22"/>
        </w:rPr>
        <w:t>人员</w:t>
      </w:r>
      <w:r>
        <w:rPr>
          <w:rFonts w:cs="Times New Roman"/>
          <w:kern w:val="2"/>
          <w:szCs w:val="22"/>
        </w:rPr>
        <w:t>指挥</w:t>
      </w:r>
      <w:r>
        <w:rPr>
          <w:rFonts w:hint="eastAsia" w:cs="Times New Roman"/>
          <w:kern w:val="2"/>
          <w:szCs w:val="22"/>
        </w:rPr>
        <w:t>。</w:t>
      </w:r>
    </w:p>
    <w:p w14:paraId="08C10862">
      <w:pPr>
        <w:pStyle w:val="2"/>
        <w:ind w:left="0" w:leftChars="0" w:firstLine="0" w:firstLineChars="0"/>
        <w:rPr>
          <w:b/>
          <w:bCs/>
        </w:rPr>
      </w:pPr>
      <w:r>
        <w:rPr>
          <w:rFonts w:hint="eastAsia" w:ascii="宋体" w:hAnsi="宋体"/>
          <w:b/>
          <w:bCs/>
          <w:color w:val="000000"/>
        </w:rPr>
        <w:t>十二、公告中的内容和要求以最终的招标文件为准。</w:t>
      </w:r>
    </w:p>
    <w:p w14:paraId="1FD5E9A8">
      <w:pPr>
        <w:widowControl w:val="0"/>
        <w:spacing w:line="360" w:lineRule="auto"/>
        <w:ind w:firstLine="5040" w:firstLineChars="2100"/>
        <w:rPr>
          <w:rFonts w:hint="eastAsia"/>
        </w:rPr>
      </w:pPr>
      <w:r>
        <w:t>济南鲍德冶金石灰石有限</w:t>
      </w:r>
      <w:r>
        <w:rPr>
          <w:rFonts w:hint="eastAsia"/>
        </w:rPr>
        <w:t>公司</w:t>
      </w:r>
    </w:p>
    <w:p w14:paraId="4CC20A1D">
      <w:pPr>
        <w:widowControl w:val="0"/>
        <w:spacing w:line="360" w:lineRule="auto"/>
        <w:ind w:firstLine="5520" w:firstLineChars="2300"/>
        <w:rPr>
          <w:rFonts w:hint="eastAsia" w:cs="Times New Roman"/>
          <w:kern w:val="2"/>
          <w:szCs w:val="22"/>
        </w:rPr>
      </w:pPr>
      <w:r>
        <w:rPr>
          <w:rFonts w:cs="Times New Roman"/>
          <w:kern w:val="2"/>
          <w:szCs w:val="22"/>
        </w:rPr>
        <w:t>202</w:t>
      </w:r>
      <w:r>
        <w:rPr>
          <w:rFonts w:hint="eastAsia" w:cs="Times New Roman"/>
          <w:kern w:val="2"/>
          <w:szCs w:val="22"/>
        </w:rPr>
        <w:t>5</w:t>
      </w:r>
      <w:r>
        <w:rPr>
          <w:rFonts w:cs="Times New Roman"/>
          <w:kern w:val="2"/>
          <w:szCs w:val="22"/>
        </w:rPr>
        <w:t>年</w:t>
      </w:r>
      <w:r>
        <w:rPr>
          <w:rFonts w:hint="eastAsia" w:cs="Times New Roman"/>
          <w:kern w:val="2"/>
          <w:szCs w:val="22"/>
        </w:rPr>
        <w:t>3</w:t>
      </w:r>
      <w:r>
        <w:rPr>
          <w:rFonts w:cs="Times New Roman"/>
          <w:kern w:val="2"/>
          <w:szCs w:val="22"/>
        </w:rPr>
        <w:t>月</w:t>
      </w:r>
      <w:r>
        <w:rPr>
          <w:rFonts w:hint="eastAsia" w:cs="Times New Roman"/>
          <w:kern w:val="2"/>
          <w:szCs w:val="22"/>
        </w:rPr>
        <w:t>2日</w:t>
      </w:r>
    </w:p>
    <w:p w14:paraId="47DC0609">
      <w:pPr>
        <w:pStyle w:val="10"/>
        <w:spacing w:before="156"/>
        <w:rPr>
          <w:rFonts w:hint="eastAsia"/>
          <w:b/>
          <w:bCs/>
          <w:sz w:val="36"/>
          <w:szCs w:val="36"/>
        </w:rPr>
      </w:pPr>
    </w:p>
    <w:p w14:paraId="549466B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
    <w:altName w:val="Cambria"/>
    <w:panose1 w:val="00000000000000000000"/>
    <w:charset w:val="00"/>
    <w:family w:val="roman"/>
    <w:pitch w:val="default"/>
    <w:sig w:usb0="00000000" w:usb1="00000000" w:usb2="00000000" w:usb3="00000000" w:csb0="00040001" w:csb1="00000000"/>
  </w:font>
  <w:font w:name="Cambria">
    <w:panose1 w:val="02040503050406030204"/>
    <w:charset w:val="00"/>
    <w:family w:val="auto"/>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196BE5">
    <w:pPr>
      <w:pStyle w:val="4"/>
      <w:jc w:val="center"/>
    </w:pPr>
    <w:r>
      <w:fldChar w:fldCharType="begin"/>
    </w:r>
    <w:r>
      <w:rPr>
        <w:rStyle w:val="8"/>
      </w:rPr>
      <w:instrText xml:space="preserve"> PAGE </w:instrText>
    </w:r>
    <w:r>
      <w:fldChar w:fldCharType="separate"/>
    </w:r>
    <w:r>
      <w:rPr>
        <w:rStyle w:val="8"/>
      </w:rPr>
      <w:t>- 3 -</w:t>
    </w:r>
    <w:r>
      <w:fldChar w:fldCharType="end"/>
    </w:r>
  </w:p>
  <w:p w14:paraId="44E26695">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F1FCEB">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A760EC1"/>
    <w:rsid w:val="1A760EC1"/>
    <w:rsid w:val="2E4677E2"/>
    <w:rsid w:val="3A6A22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宋体" w:hAnsi="宋体" w:eastAsia="宋体" w:cs="宋体"/>
      <w:sz w:val="24"/>
      <w:szCs w:val="24"/>
      <w:lang w:val="en-US" w:eastAsia="zh-CN" w:bidi="ar-SA"/>
    </w:rPr>
  </w:style>
  <w:style w:type="character" w:default="1" w:styleId="7">
    <w:name w:val="Default Paragraph Font"/>
    <w:semiHidden/>
    <w:qFormat/>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First Indent 2"/>
    <w:basedOn w:val="3"/>
    <w:qFormat/>
    <w:uiPriority w:val="99"/>
    <w:pPr>
      <w:ind w:firstLine="420" w:firstLineChars="200"/>
    </w:pPr>
  </w:style>
  <w:style w:type="paragraph" w:styleId="3">
    <w:name w:val="Body Text Indent"/>
    <w:basedOn w:val="1"/>
    <w:qFormat/>
    <w:uiPriority w:val="99"/>
    <w:pPr>
      <w:widowControl w:val="0"/>
      <w:spacing w:after="120"/>
      <w:ind w:left="420" w:leftChars="200"/>
      <w:jc w:val="both"/>
    </w:pPr>
    <w:rPr>
      <w:rFonts w:ascii="Times New Roman" w:hAnsi="Times New Roman" w:cs="Times New Roman"/>
    </w:rPr>
  </w:style>
  <w:style w:type="paragraph" w:styleId="4">
    <w:name w:val="footer"/>
    <w:basedOn w:val="1"/>
    <w:unhideWhenUsed/>
    <w:qFormat/>
    <w:uiPriority w:val="99"/>
    <w:pPr>
      <w:tabs>
        <w:tab w:val="center" w:pos="4153"/>
        <w:tab w:val="right" w:pos="8306"/>
      </w:tabs>
      <w:snapToGrid w:val="0"/>
      <w:jc w:val="left"/>
    </w:pPr>
    <w:rPr>
      <w:rFonts w:ascii="Calibri" w:hAnsi="Calibri" w:cs="Times New Roman"/>
      <w:sz w:val="18"/>
      <w:szCs w:val="18"/>
    </w:rPr>
  </w:style>
  <w:style w:type="paragraph" w:styleId="5">
    <w:name w:val="header"/>
    <w:basedOn w:val="1"/>
    <w:unhideWhenUsed/>
    <w:qFormat/>
    <w:uiPriority w:val="99"/>
    <w:pPr>
      <w:pBdr>
        <w:bottom w:val="single" w:color="auto" w:sz="6" w:space="1"/>
      </w:pBdr>
      <w:tabs>
        <w:tab w:val="center" w:pos="4153"/>
        <w:tab w:val="right" w:pos="8306"/>
      </w:tabs>
      <w:snapToGrid w:val="0"/>
      <w:jc w:val="center"/>
    </w:pPr>
    <w:rPr>
      <w:rFonts w:ascii="Calibri" w:hAnsi="Calibri" w:cs="Times New Roman"/>
      <w:sz w:val="18"/>
      <w:szCs w:val="18"/>
    </w:rPr>
  </w:style>
  <w:style w:type="character" w:styleId="8">
    <w:name w:val="page number"/>
    <w:qFormat/>
    <w:uiPriority w:val="0"/>
    <w:rPr>
      <w:rFonts w:cs="Times New Roman"/>
    </w:rPr>
  </w:style>
  <w:style w:type="paragraph" w:customStyle="1" w:styleId="9">
    <w:name w:val="p0"/>
    <w:basedOn w:val="1"/>
    <w:uiPriority w:val="99"/>
    <w:pPr>
      <w:jc w:val="both"/>
    </w:pPr>
    <w:rPr>
      <w:rFonts w:ascii="Times New Roman" w:hAnsi="Times New Roman" w:cs="Times New Roman"/>
      <w:sz w:val="21"/>
      <w:szCs w:val="21"/>
    </w:rPr>
  </w:style>
  <w:style w:type="paragraph" w:customStyle="1" w:styleId="10">
    <w:name w:val="一级"/>
    <w:basedOn w:val="11"/>
    <w:qFormat/>
    <w:uiPriority w:val="0"/>
    <w:pPr>
      <w:widowControl w:val="0"/>
      <w:jc w:val="center"/>
      <w:outlineLvl w:val="0"/>
    </w:pPr>
    <w:rPr>
      <w:rFonts w:cs="Times New Roman"/>
      <w:b w:val="0"/>
      <w:sz w:val="32"/>
      <w:szCs w:val="32"/>
    </w:rPr>
  </w:style>
  <w:style w:type="paragraph" w:customStyle="1" w:styleId="11">
    <w:name w:val="样式2"/>
    <w:basedOn w:val="1"/>
    <w:qFormat/>
    <w:uiPriority w:val="0"/>
    <w:pPr>
      <w:widowControl w:val="0"/>
      <w:spacing w:beforeLines="50" w:line="360" w:lineRule="auto"/>
      <w:jc w:val="center"/>
      <w:outlineLvl w:val="0"/>
    </w:pPr>
    <w:rPr>
      <w:rFonts w:ascii="Times New Roman" w:hAnsi="Times New Roman" w:eastAsia="黑体" w:cs="Times New Roman"/>
      <w:b/>
      <w:kern w:val="2"/>
      <w:sz w:val="44"/>
      <w:szCs w:val="4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156</Words>
  <Characters>171</Characters>
  <Lines>0</Lines>
  <Paragraphs>0</Paragraphs>
  <TotalTime>7</TotalTime>
  <ScaleCrop>false</ScaleCrop>
  <LinksUpToDate>false</LinksUpToDate>
  <CharactersWithSpaces>182</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2025-03-04T00:02:00Z</dcterms:created>
  <dc:creator>换个名字吧</dc:creator>
  <cp:lastModifiedBy>换个名字吧</cp:lastModifiedBy>
  <dcterms:modified xsi:type="dcterms:W3CDTF">2025-03-04T00:53:01Z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17FA6764C5DC44EABCAA962951AC8E8C_11</vt:lpwstr>
  </property>
  <property fmtid="{D5CDD505-2E9C-101B-9397-08002B2CF9AE}" pid="4" name="KSOTemplateDocerSaveRecord">
    <vt:lpwstr>eyJoZGlkIjoiNjU1ZDBhZGYzNGE2NTBkYzJjZDhiNGY0OWI1NmQ1ZmQiLCJ1c2VySWQiOiI3MzAxOTgwNzUifQ==</vt:lpwstr>
  </property>
</Properties>
</file>